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45"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220" w:after="283"/>
        <w:jc w:val="center"/>
        <w:rPr>
          <w:rFonts w:ascii="Times New Roman;serif" w:hAnsi="Times New Roman;serif"/>
          <w:b/>
          <w:color w:val="231F20"/>
          <w:sz w:val="24"/>
        </w:rPr>
      </w:pPr>
      <w:r>
        <w:rPr>
          <w:rFonts w:ascii="Times New Roman;serif" w:hAnsi="Times New Roman;serif"/>
          <w:b/>
          <w:color w:val="231F20"/>
          <w:sz w:val="24"/>
        </w:rPr>
        <w:t>CURRENT REPORT</w:t>
      </w:r>
    </w:p>
    <w:p>
      <w:pPr>
        <w:pStyle w:val="TextBody"/>
        <w:bidi w:val="0"/>
        <w:spacing w:lineRule="auto" w:line="288" w:before="20" w:after="283"/>
        <w:jc w:val="center"/>
        <w:rPr>
          <w:rFonts w:ascii="Times New Roman;serif" w:hAnsi="Times New Roman;serif"/>
          <w:b/>
          <w:color w:val="231F20"/>
          <w:sz w:val="24"/>
        </w:rPr>
      </w:pPr>
      <w:r>
        <w:rPr>
          <w:rFonts w:ascii="Times New Roman;serif" w:hAnsi="Times New Roman;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August 4, 2026 (August 4, 2026)</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 of Report (date of earliest event reported)</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CUMBERLAND PHARMACEUTICALS INC. </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778"/>
        <w:gridCol w:w="1566"/>
        <w:gridCol w:w="1573"/>
        <w:gridCol w:w="378"/>
        <w:gridCol w:w="378"/>
        <w:gridCol w:w="378"/>
        <w:gridCol w:w="378"/>
        <w:gridCol w:w="378"/>
        <w:gridCol w:w="386"/>
        <w:gridCol w:w="877"/>
        <w:gridCol w:w="877"/>
        <w:gridCol w:w="1258"/>
      </w:tblGrid>
      <w:tr>
        <w:trPr/>
        <w:tc>
          <w:tcPr>
            <w:tcW w:w="1778"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Tennessee</w:t>
            </w:r>
          </w:p>
        </w:tc>
        <w:tc>
          <w:tcPr>
            <w:tcW w:w="2276" w:type="dxa"/>
            <w:gridSpan w:val="6"/>
            <w:tcBorders/>
            <w:tcMar>
              <w:top w:w="0" w:type="dxa"/>
              <w:left w:w="0" w:type="dxa"/>
              <w:bottom w:w="0" w:type="dxa"/>
              <w:right w:w="0" w:type="dxa"/>
            </w:tcMar>
            <w:vAlign w:val="center"/>
          </w:tcPr>
          <w:p>
            <w:pPr>
              <w:pStyle w:val="TableContents"/>
              <w:bidi w:val="0"/>
              <w:spacing w:lineRule="auto" w:line="345" w:before="0" w:after="283"/>
              <w:jc w:val="center"/>
              <w:rPr>
                <w:rFonts w:ascii="Times New Roman;serif" w:hAnsi="Times New Roman;serif"/>
                <w:b/>
                <w:color w:val="000000"/>
                <w:sz w:val="20"/>
              </w:rPr>
            </w:pPr>
            <w:r>
              <w:rPr>
                <w:rFonts w:ascii="Times New Roman;serif" w:hAnsi="Times New Roman;serif"/>
                <w:b/>
                <w:color w:val="000000"/>
                <w:sz w:val="20"/>
              </w:rPr>
              <w:t>001-33637</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62-1765329</w:t>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276"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1600 West End Avenue, Suite 1300 Nashville, Tennessee 37203</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(615) 255-0068 </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w:t>
      </w:r>
      <w:r>
        <w:rPr>
          <w:color w:val="231F20"/>
        </w:rPr>
        <w:t xml:space="preserve">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7798" w:type="dxa"/>
        <w:jc w:val="center"/>
        <w:tblInd w:w="0" w:type="dxa"/>
        <w:tblLayout w:type="fixed"/>
        <w:tblCellMar>
          <w:top w:w="28" w:type="dxa"/>
          <w:left w:w="28" w:type="dxa"/>
          <w:bottom w:w="28" w:type="dxa"/>
          <w:right w:w="28" w:type="dxa"/>
        </w:tblCellMar>
      </w:tblPr>
      <w:tblGrid>
        <w:gridCol w:w="896"/>
        <w:gridCol w:w="784"/>
        <w:gridCol w:w="794"/>
        <w:gridCol w:w="539"/>
        <w:gridCol w:w="539"/>
        <w:gridCol w:w="541"/>
        <w:gridCol w:w="1085"/>
        <w:gridCol w:w="1085"/>
        <w:gridCol w:w="1535"/>
      </w:tblGrid>
      <w:tr>
        <w:trPr/>
        <w:tc>
          <w:tcPr>
            <w:tcW w:w="89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4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no par value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CPIX</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right"/>
        <w:rPr/>
      </w:pPr>
      <w:r>
        <w:rPr/>
      </w:r>
    </w:p>
    <w:p>
      <w:pPr>
        <w:pStyle w:val="TextBody"/>
        <w:bidi w:val="0"/>
        <w:spacing w:lineRule="auto" w:line="288" w:before="0" w:after="0"/>
        <w:jc w:val="lef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On August 4, 2026, Cumberland Pharmaceuticals Inc. (the "Company") issued a press release which provided a company update and the financial results for the three and six months ended June 30, 2026. A copy of the press release is attached as </w:t>
      </w:r>
      <w:hyperlink w:anchor="a2026q2-ex991er.htm">
        <w:r>
          <w:rPr>
            <w:rStyle w:val="InternetLink"/>
            <w:rFonts w:ascii="Times New Roman;serif" w:hAnsi="Times New Roman;serif"/>
            <w:b w:val="false"/>
            <w:color w:val="0000FF"/>
            <w:sz w:val="20"/>
            <w:u w:val="single"/>
          </w:rPr>
          <w:t>Exhibit 99.1</w:t>
        </w:r>
      </w:hyperlink>
      <w:r>
        <w:rPr>
          <w:color w:val="000000"/>
        </w:rPr>
        <w:t xml:space="preserve"> </w:t>
      </w:r>
      <w:r>
        <w:rPr>
          <w:rFonts w:ascii="Times New Roman;serif" w:hAnsi="Times New Roman;serif"/>
          <w:b w:val="false"/>
          <w:color w:val="000000"/>
          <w:sz w:val="20"/>
        </w:rPr>
        <w:t>to this Current Report on Form 8-K and is incorporated by reference into this Item 2.02.</w:t>
      </w:r>
    </w:p>
    <w:p>
      <w:pPr>
        <w:pStyle w:val="TextBody"/>
        <w:bidi w:val="0"/>
        <w:spacing w:lineRule="auto" w:line="288" w:before="225" w:after="283"/>
        <w:jc w:val="both"/>
        <w:rPr>
          <w:rFonts w:ascii="Times New Roman;serif" w:hAnsi="Times New Roman;serif"/>
          <w:b w:val="false"/>
          <w:color w:val="000000"/>
          <w:sz w:val="20"/>
        </w:rPr>
      </w:pPr>
      <w:r>
        <w:rPr>
          <w:rFonts w:ascii="Times New Roman;serif" w:hAnsi="Times New Roman;serif"/>
          <w:b w:val="false"/>
          <w:color w:val="000000"/>
          <w:sz w:val="20"/>
        </w:rPr>
        <w:t>This information is furnished pursuant to Item 2.02 of Form 8-K and shall not be deemed filed for purposes of Section 18 of the Securities Exchange Act of 1934, as amended (the "Exchange Act"), or otherwise subject to the liabilities of that section, unless specifically incorporated by reference in a document filed under the Securities Act of 1933, as amended, or the Exchange Act. By filing this report on Form 8-K and furnishing this information, the Company makes no admission as to the materiality of any information in this report that is required to be disclosed solely by Item 2.02.</w:t>
      </w:r>
    </w:p>
    <w:p>
      <w:pPr>
        <w:pStyle w:val="TextBody"/>
        <w:bidi w:val="0"/>
        <w:spacing w:lineRule="auto" w:line="417" w:before="100" w:after="283"/>
        <w:jc w:val="left"/>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lineRule="auto" w:line="417" w:before="100" w:after="283"/>
        <w:jc w:val="left"/>
        <w:rPr>
          <w:color w:val="000000"/>
        </w:rPr>
      </w:pPr>
      <w:r>
        <w:rPr>
          <w:color w:val="000000"/>
        </w:rPr>
        <w:t>    </w:t>
      </w:r>
      <w:r>
        <w:rPr>
          <w:rFonts w:ascii="Times New Roman;serif" w:hAnsi="Times New Roman;serif"/>
          <w:b w:val="false"/>
          <w:color w:val="000000"/>
          <w:sz w:val="20"/>
        </w:rPr>
        <w:t>(d) Exhibits</w:t>
      </w:r>
    </w:p>
    <w:tbl>
      <w:tblPr>
        <w:tblW w:w="4062" w:type="dxa"/>
        <w:jc w:val="center"/>
        <w:tblInd w:w="0" w:type="dxa"/>
        <w:tblLayout w:type="fixed"/>
        <w:tblCellMar>
          <w:top w:w="28" w:type="dxa"/>
          <w:left w:w="28" w:type="dxa"/>
          <w:bottom w:w="28" w:type="dxa"/>
          <w:right w:w="28" w:type="dxa"/>
        </w:tblCellMar>
      </w:tblPr>
      <w:tblGrid>
        <w:gridCol w:w="288"/>
        <w:gridCol w:w="252"/>
        <w:gridCol w:w="255"/>
        <w:gridCol w:w="109"/>
        <w:gridCol w:w="109"/>
        <w:gridCol w:w="109"/>
        <w:gridCol w:w="860"/>
        <w:gridCol w:w="860"/>
        <w:gridCol w:w="1220"/>
      </w:tblGrid>
      <w:tr>
        <w:trPr/>
        <w:tc>
          <w:tcPr>
            <w:tcW w:w="28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Description</w:t>
            </w:r>
          </w:p>
        </w:tc>
      </w:tr>
      <w:tr>
        <w:trPr/>
        <w:tc>
          <w:tcPr>
            <w:tcW w:w="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2-ex991er.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2-ex991er.htm">
              <w:r>
                <w:rPr>
                  <w:rStyle w:val="InternetLink"/>
                  <w:rFonts w:ascii="Times New Roman;serif" w:hAnsi="Times New Roman;serif"/>
                  <w:b w:val="false"/>
                  <w:color w:val="000080"/>
                  <w:sz w:val="20"/>
                  <w:u w:val="single"/>
                </w:rPr>
                <w:t xml:space="preserve">Press release dated </w:t>
              </w:r>
            </w:hyperlink>
            <w:hyperlink w:anchor="a2026q2-ex991er.htm">
              <w:r>
                <w:rPr>
                  <w:rStyle w:val="InternetLink"/>
                  <w:rFonts w:ascii="Times New Roman;serif" w:hAnsi="Times New Roman;serif"/>
                  <w:b w:val="false"/>
                  <w:color w:val="000080"/>
                  <w:sz w:val="20"/>
                  <w:u w:val="single"/>
                </w:rPr>
                <w:t>August 4</w:t>
              </w:r>
            </w:hyperlink>
            <w:hyperlink w:anchor="a2026q2-ex991er.htm">
              <w:r>
                <w:rPr>
                  <w:rStyle w:val="InternetLink"/>
                  <w:rFonts w:ascii="Times New Roman;serif" w:hAnsi="Times New Roman;serif"/>
                  <w:b w:val="false"/>
                  <w:color w:val="000080"/>
                  <w:sz w:val="20"/>
                  <w:u w:val="single"/>
                </w:rPr>
                <w:t>, 2026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5"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25"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846" w:type="dxa"/>
        <w:jc w:val="center"/>
        <w:tblInd w:w="0" w:type="dxa"/>
        <w:tblLayout w:type="fixed"/>
        <w:tblCellMar>
          <w:top w:w="28" w:type="dxa"/>
          <w:left w:w="28" w:type="dxa"/>
          <w:bottom w:w="28" w:type="dxa"/>
          <w:right w:w="28" w:type="dxa"/>
        </w:tblCellMar>
      </w:tblPr>
      <w:tblGrid>
        <w:gridCol w:w="705"/>
        <w:gridCol w:w="619"/>
        <w:gridCol w:w="625"/>
        <w:gridCol w:w="109"/>
        <w:gridCol w:w="109"/>
        <w:gridCol w:w="109"/>
        <w:gridCol w:w="109"/>
        <w:gridCol w:w="109"/>
        <w:gridCol w:w="109"/>
        <w:gridCol w:w="109"/>
        <w:gridCol w:w="109"/>
        <w:gridCol w:w="109"/>
        <w:gridCol w:w="303"/>
        <w:gridCol w:w="303"/>
        <w:gridCol w:w="303"/>
        <w:gridCol w:w="312"/>
        <w:gridCol w:w="312"/>
        <w:gridCol w:w="312"/>
        <w:gridCol w:w="312"/>
        <w:gridCol w:w="312"/>
        <w:gridCol w:w="447"/>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Cumberland Pharmaceuticals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John Hamm</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Hamm</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60" w:after="283"/>
        <w:jc w:val="center"/>
        <w:rPr/>
      </w:pPr>
      <w:r>
        <w:rPr/>
        <w:drawing>
          <wp:inline distT="0" distB="0" distL="0" distR="0">
            <wp:extent cx="3295650" cy="7429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295650" cy="742950"/>
                    </a:xfrm>
                    <a:prstGeom prst="rect">
                      <a:avLst/>
                    </a:prstGeom>
                  </pic:spPr>
                </pic:pic>
              </a:graphicData>
            </a:graphic>
          </wp:inline>
        </w:drawing>
      </w:r>
    </w:p>
    <w:p>
      <w:pPr>
        <w:pStyle w:val="TextBody"/>
        <w:bidi w:val="0"/>
        <w:spacing w:lineRule="auto" w:line="288" w:before="160" w:after="283"/>
        <w:jc w:val="center"/>
        <w:rPr>
          <w:rFonts w:ascii="Times New Roman;serif" w:hAnsi="Times New Roman;serif"/>
          <w:b/>
          <w:color w:val="000000"/>
          <w:sz w:val="28"/>
        </w:rPr>
      </w:pPr>
      <w:r>
        <w:rPr>
          <w:rFonts w:ascii="Times New Roman;serif" w:hAnsi="Times New Roman;serif"/>
          <w:b/>
          <w:color w:val="000000"/>
          <w:sz w:val="28"/>
        </w:rPr>
        <w:t xml:space="preserve">CUMBERLAND PHARMACEUTICALS REPORTS </w:t>
      </w:r>
    </w:p>
    <w:p>
      <w:pPr>
        <w:pStyle w:val="TextBody"/>
        <w:bidi w:val="0"/>
        <w:spacing w:lineRule="auto" w:line="288" w:before="160" w:after="240"/>
        <w:jc w:val="center"/>
        <w:rPr>
          <w:rFonts w:ascii="Times New Roman;serif" w:hAnsi="Times New Roman;serif"/>
          <w:b/>
          <w:color w:val="000000"/>
          <w:sz w:val="28"/>
        </w:rPr>
      </w:pPr>
      <w:r>
        <w:rPr>
          <w:rFonts w:ascii="Times New Roman;serif" w:hAnsi="Times New Roman;serif"/>
          <w:b/>
          <w:color w:val="000000"/>
          <w:sz w:val="28"/>
        </w:rPr>
        <w:t>COMPANY UPDATE &amp; Q2 2026 FINANCIAL RESULTS</w:t>
      </w:r>
    </w:p>
    <w:p>
      <w:pPr>
        <w:pStyle w:val="TextBody"/>
        <w:bidi w:val="0"/>
        <w:spacing w:lineRule="auto" w:line="288" w:before="160" w:after="283"/>
        <w:jc w:val="center"/>
        <w:rPr>
          <w:rFonts w:ascii="Times New Roman;serif" w:hAnsi="Times New Roman;serif"/>
          <w:b w:val="false"/>
          <w:i/>
          <w:color w:val="000000"/>
          <w:sz w:val="26"/>
        </w:rPr>
      </w:pPr>
      <w:r>
        <w:rPr>
          <w:rFonts w:ascii="Times New Roman;serif" w:hAnsi="Times New Roman;serif"/>
          <w:b w:val="false"/>
          <w:i/>
          <w:color w:val="000000"/>
          <w:sz w:val="26"/>
        </w:rPr>
        <w:t xml:space="preserve">$100 million Strategic Transaction Closed </w:t>
      </w:r>
    </w:p>
    <w:p>
      <w:pPr>
        <w:pStyle w:val="TextBody"/>
        <w:bidi w:val="0"/>
        <w:spacing w:lineRule="auto" w:line="288" w:before="160" w:after="283"/>
        <w:jc w:val="center"/>
        <w:rPr>
          <w:rFonts w:ascii="Times New Roman;serif" w:hAnsi="Times New Roman;serif"/>
          <w:b w:val="false"/>
          <w:i/>
          <w:color w:val="000000"/>
          <w:sz w:val="26"/>
        </w:rPr>
      </w:pPr>
      <w:r>
        <w:rPr>
          <w:rFonts w:ascii="Times New Roman;serif" w:hAnsi="Times New Roman;serif"/>
          <w:b w:val="false"/>
          <w:i/>
          <w:color w:val="000000"/>
          <w:sz w:val="26"/>
        </w:rPr>
        <w:t>Special Shareholder Dividend Funded</w:t>
      </w:r>
    </w:p>
    <w:p>
      <w:pPr>
        <w:pStyle w:val="TextBody"/>
        <w:bidi w:val="0"/>
        <w:spacing w:lineRule="auto" w:line="288" w:before="160" w:after="283"/>
        <w:jc w:val="center"/>
        <w:rPr>
          <w:rFonts w:ascii="Times New Roman;serif" w:hAnsi="Times New Roman;serif"/>
          <w:b w:val="false"/>
          <w:i/>
          <w:color w:val="000000"/>
          <w:sz w:val="26"/>
        </w:rPr>
      </w:pPr>
      <w:r>
        <w:rPr>
          <w:rFonts w:ascii="Times New Roman;serif" w:hAnsi="Times New Roman;serif"/>
          <w:b w:val="false"/>
          <w:i/>
          <w:color w:val="000000"/>
          <w:sz w:val="26"/>
        </w:rPr>
        <w:t xml:space="preserve">Advancing Late Stage Clinical Pipeline </w:t>
      </w:r>
    </w:p>
    <w:p>
      <w:pPr>
        <w:pStyle w:val="TextBody"/>
        <w:bidi w:val="0"/>
        <w:spacing w:before="160" w:after="283"/>
        <w:jc w:val="center"/>
        <w:rPr/>
      </w:pPr>
      <w:r>
        <w:rPr/>
      </w:r>
    </w:p>
    <w:p>
      <w:pPr>
        <w:pStyle w:val="TextBody"/>
        <w:bidi w:val="0"/>
        <w:spacing w:lineRule="auto" w:line="288" w:before="160" w:after="283"/>
        <w:jc w:val="both"/>
        <w:rPr/>
      </w:pPr>
      <w:r>
        <w:rPr>
          <w:rFonts w:ascii="Times New Roman;serif" w:hAnsi="Times New Roman;serif"/>
          <w:b/>
          <w:color w:val="000000"/>
          <w:sz w:val="24"/>
        </w:rPr>
        <w:t>NASHVILLE, Tenn. (Tuesday, August 04, 2026) – Cumberland Pharmaceuticals Inc. (Nasdaq: CPIX)</w:t>
      </w:r>
      <w:r>
        <w:rPr>
          <w:rFonts w:ascii="Times New Roman;serif" w:hAnsi="Times New Roman;serif"/>
          <w:b w:val="false"/>
          <w:color w:val="000000"/>
          <w:sz w:val="24"/>
        </w:rPr>
        <w:t xml:space="preserve">, an innovation-focused biopharmaceutical company, announced today its second quarter 2026 financial results and provided an update following the successful closing of its Strategic Transaction with Apotex Health. </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During the second quarter, Cumberland completed a transaction with Apotex Health, the largest Canadian pharmaceutical company, to integrate their branded business. Under the terms of the agreement, Apotex acquired Cumberland’s portfolio of FDA-approved brands and related commercial organization for $100 million in cash at closing, plus an additional $11 million in funding for inventory and transition services. </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Following the transaction, Cumberland will transition into a development-stage biopharmaceutical organization focused on advancing differentiated medicines for rare diseases and other areas of significant unmet medical need. </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Cumberland returned capital to shareholders through a special cash dividend while retaining sufficient resources to fund its long-term operations, advance its development pipeline and pursue additional strategic opportunities. Cumberland retains its development pipeline of late stage candidates, including four Phase 2 clinical programs, as well as its majority ownership in Cumberland Emerging Technologies.</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"The second quarter marked a defining milestone for Cumberland," said A.J. Kazimi, CEO of Cumberland Pharmaceuticals. "With the successful completion of our Strategic Transaction, we have unlocked substantial value for our shareholders, while positioning Cumberland for its next phase as an innovation-focused biopharmaceutical company. We have strengthened our balance sheet, returned capital to shareholders through a special dividend and remain well-capitalized to advance our pipeline of differentiated product candidates designed to address significant unmet medical needs."</w:t>
      </w:r>
    </w:p>
    <w:p>
      <w:pPr>
        <w:pStyle w:val="TextBody"/>
        <w:bidi w:val="0"/>
        <w:spacing w:before="160" w:after="283"/>
        <w:jc w:val="both"/>
        <w:rPr/>
      </w:pPr>
      <w:r>
        <w:rPr/>
      </w:r>
    </w:p>
    <w:p>
      <w:pPr>
        <w:pStyle w:val="TextBody"/>
        <w:bidi w:val="0"/>
        <w:spacing w:before="28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80" w:after="283"/>
        <w:jc w:val="both"/>
        <w:rPr>
          <w:rFonts w:ascii="Times New Roman;serif" w:hAnsi="Times New Roman;serif"/>
          <w:b/>
          <w:color w:val="000000"/>
          <w:sz w:val="24"/>
          <w:u w:val="single"/>
        </w:rPr>
      </w:pPr>
      <w:r>
        <w:rPr>
          <w:rFonts w:ascii="Times New Roman;serif" w:hAnsi="Times New Roman;serif"/>
          <w:b/>
          <w:color w:val="000000"/>
          <w:sz w:val="24"/>
          <w:u w:val="single"/>
        </w:rPr>
        <w:t>RECENT COMPANY DEVELOPMENTS INCLUDE:</w:t>
      </w:r>
    </w:p>
    <w:p>
      <w:pPr>
        <w:pStyle w:val="TextBody"/>
        <w:bidi w:val="0"/>
        <w:spacing w:lineRule="auto" w:line="288" w:before="160" w:after="283"/>
        <w:jc w:val="both"/>
        <w:rPr>
          <w:rFonts w:ascii="Times New Roman;serif" w:hAnsi="Times New Roman;serif"/>
          <w:b/>
          <w:color w:val="000000"/>
          <w:sz w:val="24"/>
        </w:rPr>
      </w:pPr>
      <w:r>
        <w:rPr>
          <w:rFonts w:ascii="Times New Roman;serif" w:hAnsi="Times New Roman;serif"/>
          <w:b/>
          <w:color w:val="000000"/>
          <w:sz w:val="24"/>
        </w:rPr>
        <w:t xml:space="preserve">Completion of Strategic Transaction with Apotex </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On July 1, 2026, Cumberland announced the closing of its agreement with Apotex to integrate the U.S. branded businesses. Under the terms of the agreement, Apotex acquired Cumberland’s portfolio of FDA-approved brands for $100 million in cash consideration, plus an additional $11 million in funding for inventory and transition services. </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The transaction was unanimously approved by Cumberland’s Board of Directors, which was followed by approval from Cumberland’s shareholders, with over 99% of the voting shares in favor of the transaction. Cumberland has retained its development programs, as well as its majority ownership in Cumberland Emerging Technologies. This transaction positions Cumberland to operate as an innovation-focused development-stage biopharmaceutical organization.</w:t>
      </w:r>
    </w:p>
    <w:p>
      <w:pPr>
        <w:pStyle w:val="TextBody"/>
        <w:bidi w:val="0"/>
        <w:spacing w:lineRule="auto" w:line="288" w:before="160" w:after="283"/>
        <w:jc w:val="both"/>
        <w:rPr>
          <w:rFonts w:ascii="Times New Roman;serif" w:hAnsi="Times New Roman;serif"/>
          <w:b/>
          <w:color w:val="000000"/>
          <w:sz w:val="24"/>
        </w:rPr>
      </w:pPr>
      <w:r>
        <w:rPr>
          <w:rFonts w:ascii="Times New Roman;serif" w:hAnsi="Times New Roman;serif"/>
          <w:b/>
          <w:color w:val="000000"/>
          <w:sz w:val="24"/>
        </w:rPr>
        <w:t>Board Declares a Special Dividend</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Cumberland’s Board of Directors authorized and declared a special cash dividend of $1.50 per share of the company’s common stock. The dividend was paid on July 31, 2026, to the shareholders of record as of July 23, 2026. </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Following the closing of the transaction with Apotex, an analysis by Cumberland’s tax advisors, along with refined financial projections, indicated greater net cash from the transaction than originally projected. Therefore, Cumberland’s Board assessed its future cash needs and evaluated possible alternatives for the excess capital. The Board of Directors determined that after the payout of the special dividend, Cumberland will still have significant liquidity and financial flexibility to fund its long-term product development efforts, with additional reserves available to address any new opportunities.</w:t>
      </w:r>
    </w:p>
    <w:p>
      <w:pPr>
        <w:pStyle w:val="TextBody"/>
        <w:bidi w:val="0"/>
        <w:spacing w:lineRule="auto" w:line="288" w:before="160" w:after="283"/>
        <w:jc w:val="both"/>
        <w:rPr>
          <w:rFonts w:ascii="Times New Roman;serif" w:hAnsi="Times New Roman;serif"/>
          <w:b/>
          <w:color w:val="000000"/>
          <w:sz w:val="24"/>
        </w:rPr>
      </w:pPr>
      <w:r>
        <w:rPr>
          <w:rFonts w:ascii="Times New Roman;serif" w:hAnsi="Times New Roman;serif"/>
          <w:b/>
          <w:color w:val="000000"/>
          <w:sz w:val="24"/>
        </w:rPr>
        <w:t xml:space="preserve">Updated DMD Results Shared at PPMD Conference </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In June 2026, Cumberland presented updated results from its Phase 2 FIGHT DMD clinical trial evaluating ifetroban in patients with Duchenne muscular dystrophy-associated cardiomyopathy at the annual Parent Project Muscular Dystrophy (PPMD) Conference. </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The updated data included new blood biomarker findings directionally consistent with heart muscle protection, with increases in markers of cardiac protection and repair and reductions in markers of heart muscle injury and cell damage with ifetroban treatment. These biomarker results reinforce the previously reported improvements in cardiac function, consistent with ifetroban’s ability to slow the progression of DMD-related heart disease. Together, the findings strengthen the case for developing ifetroban as a therapy targeting cardiomyopathy, the leading cause of death in patients with DMD.</w:t>
      </w:r>
    </w:p>
    <w:p>
      <w:pPr>
        <w:pStyle w:val="TextBody"/>
        <w:bidi w:val="0"/>
        <w:spacing w:lineRule="auto" w:line="288" w:before="160" w:after="283"/>
        <w:jc w:val="both"/>
        <w:rPr>
          <w:rFonts w:ascii="Times New Roman;serif" w:hAnsi="Times New Roman;serif"/>
          <w:b/>
          <w:color w:val="000000"/>
          <w:sz w:val="24"/>
        </w:rPr>
      </w:pPr>
      <w:r>
        <w:rPr>
          <w:rFonts w:ascii="Times New Roman;serif" w:hAnsi="Times New Roman;serif"/>
          <w:b/>
          <w:color w:val="000000"/>
          <w:sz w:val="24"/>
        </w:rPr>
        <w:t>Positive Results in Cancer Metastasis Prevention</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In collaboration with Vanderbilt Health, Cumberland announced results from a randomized, placebo-controlled Phase 2 study evaluating ifetroban as a potential therapy to inhibit cancer metastasis in patients with Stage I to III malignant solid tumors at high risk of metastatic recurrence. The study met its primary objective of assessing safety and feasibility. Ifetroban was found to be safe and well-tolerated, and no safety signals were identified in markers of blood clotting function.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Although intentionally not powered for efficacy, the study also compared the percentage of patients with distant metastatic recurrence 12 months after completion of therapy in both groups (10 placebo-treated and 18 ifetroban-treated participants) as a prespecified secondary endpoint. </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Metastatic recurrence occurred in 3 of 18 patients (17%) receiving ifetroban, compared with 5 of 10 patients (50%) receiving placebo, a difference that did not reach statistical significance (odds ratio 0.21; p=0.09). There were no deaths from distant metastatic disease among patients receiving ifetroban, compared with 3 of 10 patients (30%) receiving placebo (p=0.037). The findings support the continued clinical development of ifetroban as a potential approach to inhibiting the metastatic process, an area of significant unmet medical need.</w:t>
      </w:r>
    </w:p>
    <w:p>
      <w:pPr>
        <w:pStyle w:val="TextBody"/>
        <w:bidi w:val="0"/>
        <w:spacing w:lineRule="auto" w:line="288" w:before="160" w:after="283"/>
        <w:jc w:val="both"/>
        <w:rPr>
          <w:rFonts w:ascii="Times New Roman;serif" w:hAnsi="Times New Roman;serif"/>
          <w:b/>
          <w:color w:val="000000"/>
          <w:sz w:val="24"/>
          <w:u w:val="single"/>
        </w:rPr>
      </w:pPr>
      <w:r>
        <w:rPr>
          <w:rFonts w:ascii="Times New Roman;serif" w:hAnsi="Times New Roman;serif"/>
          <w:b/>
          <w:color w:val="000000"/>
          <w:sz w:val="24"/>
          <w:u w:val="single"/>
        </w:rPr>
        <w:t>FINANCIAL RESULTS:</w:t>
      </w:r>
    </w:p>
    <w:p>
      <w:pPr>
        <w:pStyle w:val="TextBody"/>
        <w:bidi w:val="0"/>
        <w:spacing w:lineRule="auto" w:line="288" w:before="160" w:after="283"/>
        <w:jc w:val="both"/>
        <w:rPr/>
      </w:pPr>
      <w:r>
        <w:rPr>
          <w:rFonts w:ascii="Times New Roman;serif" w:hAnsi="Times New Roman;serif"/>
          <w:b/>
          <w:color w:val="000000"/>
          <w:sz w:val="24"/>
        </w:rPr>
        <w:t>Net Revenue:</w:t>
      </w:r>
      <w:r>
        <w:rPr>
          <w:color w:val="000000"/>
        </w:rPr>
        <w:t> </w:t>
      </w:r>
      <w:r>
        <w:rPr>
          <w:rFonts w:ascii="Times New Roman;serif" w:hAnsi="Times New Roman;serif"/>
          <w:b w:val="false"/>
          <w:color w:val="000000"/>
          <w:sz w:val="24"/>
        </w:rPr>
        <w:t>During the second quarter of 2026, Cumberland reorganized its income statement to classify the revenues and expenses associated with the Apotex transaction as discontinued operations. The ongoing investment in research and development, supported by the remaining general and administrative expenses, resulted in a loss from continuing operations of $3.1 million for the quarter. With the addition of discontinued operations, the net loss for the quarter was $4.1 million. </w:t>
      </w:r>
    </w:p>
    <w:p>
      <w:pPr>
        <w:pStyle w:val="TextBody"/>
        <w:bidi w:val="0"/>
        <w:spacing w:lineRule="auto" w:line="288" w:before="160" w:after="283"/>
        <w:jc w:val="both"/>
        <w:rPr/>
      </w:pPr>
      <w:r>
        <w:rPr>
          <w:rFonts w:ascii="Times New Roman;serif" w:hAnsi="Times New Roman;serif"/>
          <w:b/>
          <w:color w:val="000000"/>
          <w:sz w:val="24"/>
        </w:rPr>
        <w:t>Balance Sheet:</w:t>
      </w:r>
      <w:r>
        <w:rPr>
          <w:color w:val="000000"/>
        </w:rPr>
        <w:t> </w:t>
      </w:r>
      <w:r>
        <w:rPr>
          <w:rFonts w:ascii="Times New Roman;serif" w:hAnsi="Times New Roman;serif"/>
          <w:b w:val="false"/>
          <w:color w:val="000000"/>
          <w:sz w:val="24"/>
        </w:rPr>
        <w:t xml:space="preserve">At June 30, 2026, Cumberland had approximately $63 million in total assets, including $4 million in cash and cash equivalents. Liabilities totaled $46 million and total shareholders’ equity was $17 million on June 30, 2026. Cumberland retired its bank line of credit through a payment of $5.2 million at the end of the second quarter. </w:t>
      </w:r>
    </w:p>
    <w:p>
      <w:pPr>
        <w:pStyle w:val="TextBody"/>
        <w:bidi w:val="0"/>
        <w:spacing w:lineRule="auto" w:line="288" w:before="160" w:after="283"/>
        <w:jc w:val="both"/>
        <w:rPr>
          <w:rFonts w:ascii="Times New Roman;serif" w:hAnsi="Times New Roman;serif"/>
          <w:b/>
          <w:color w:val="000000"/>
          <w:sz w:val="24"/>
          <w:u w:val="single"/>
        </w:rPr>
      </w:pPr>
      <w:r>
        <w:rPr>
          <w:rFonts w:ascii="Times New Roman;serif" w:hAnsi="Times New Roman;serif"/>
          <w:b/>
          <w:color w:val="000000"/>
          <w:sz w:val="24"/>
          <w:u w:val="single"/>
        </w:rPr>
        <w:t>EARNINGS REPORT CALL:</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A conference call will be held today, August 4, 2026, at 4:30 p.m. Eastern Time to provide a company update and discuss the financial results. </w:t>
      </w:r>
    </w:p>
    <w:p>
      <w:pPr>
        <w:pStyle w:val="TextBody"/>
        <w:bidi w:val="0"/>
        <w:spacing w:lineRule="auto" w:line="288" w:before="160" w:after="283"/>
        <w:jc w:val="left"/>
        <w:rPr/>
      </w:pPr>
      <w:r>
        <w:rPr>
          <w:rFonts w:ascii="Times New Roman;serif" w:hAnsi="Times New Roman;serif"/>
          <w:b w:val="false"/>
          <w:color w:val="000000"/>
          <w:sz w:val="24"/>
        </w:rPr>
        <w:t xml:space="preserve">The link to register is </w:t>
      </w:r>
      <w:r>
        <w:rPr>
          <w:rFonts w:ascii="Times New Roman;serif" w:hAnsi="Times New Roman;serif"/>
          <w:b w:val="false"/>
          <w:color w:val="000000"/>
          <w:sz w:val="24"/>
          <w:shd w:fill="FFFFFF" w:val="clear"/>
        </w:rPr>
        <w:t xml:space="preserve">https://register-conf.media-server.com/register/BI2da176d5d0dd4778a44db3d4af6e7b39. </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Registered participants can dial in from their phone using a dial-in and PIN number that will be provided to them. Alternatively, they can choose a “Call Me” option to have the system automatically call them at the start of the conference. </w:t>
      </w:r>
    </w:p>
    <w:p>
      <w:pPr>
        <w:pStyle w:val="TextBody"/>
        <w:bidi w:val="0"/>
        <w:spacing w:lineRule="auto" w:line="288" w:before="160" w:after="283"/>
        <w:jc w:val="both"/>
        <w:rPr/>
      </w:pPr>
      <w:r>
        <w:rPr>
          <w:rFonts w:ascii="Times New Roman;serif" w:hAnsi="Times New Roman;serif"/>
          <w:b w:val="false"/>
          <w:color w:val="000000"/>
          <w:sz w:val="24"/>
        </w:rPr>
        <w:t>A replay of the call will be available for one year and can be accessed via Cumberland’s website or by visiting: https://edge.media-server.com/mmc/p/xokd879m</w:t>
      </w:r>
      <w:r>
        <w:rPr>
          <w:rFonts w:ascii="Times New Roman;serif" w:hAnsi="Times New Roman;serif"/>
          <w:b w:val="false"/>
          <w:color w:val="000000"/>
          <w:sz w:val="24"/>
          <w:shd w:fill="FFFFFF" w:val="clear"/>
        </w:rPr>
        <w:t>.</w:t>
      </w:r>
    </w:p>
    <w:p>
      <w:pPr>
        <w:pStyle w:val="TextBody"/>
        <w:bidi w:val="0"/>
        <w:spacing w:lineRule="auto" w:line="288" w:before="160" w:after="283"/>
        <w:jc w:val="both"/>
        <w:rPr>
          <w:rFonts w:ascii="Times New Roman;serif" w:hAnsi="Times New Roman;serif"/>
          <w:b/>
          <w:color w:val="000000"/>
          <w:sz w:val="24"/>
          <w:u w:val="single"/>
        </w:rPr>
      </w:pPr>
      <w:r>
        <w:rPr>
          <w:rFonts w:ascii="Times New Roman;serif" w:hAnsi="Times New Roman;serif"/>
          <w:b/>
          <w:color w:val="000000"/>
          <w:sz w:val="24"/>
          <w:u w:val="single"/>
        </w:rPr>
        <w:t>About Cumberland Pharmaceuticals</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Cumberland Pharmaceuticals Inc. is the largest biopharmaceutical company founded and headquartered in Tennessee and is focused on developing innovative products that improve the quality of patient care. The company is advancing a clinical pipeline of late-stage product candidates across multiple therapeutic areas with significant unmet medical needs.</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Cumberland's Phase 2 clinical programs are evaluating ifetroban in patients with Duchenne Muscular Dystrophy, Systemic Sclerosis, Idiopathic Pulmonary Fibrosis and Cancer Metastasis. </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For more information, please visit www.cumberlandpharma.com.</w:t>
      </w:r>
    </w:p>
    <w:p>
      <w:pPr>
        <w:pStyle w:val="TextBody"/>
        <w:bidi w:val="0"/>
        <w:spacing w:before="0" w:after="0"/>
        <w:jc w:val="left"/>
        <w:rPr/>
      </w:pPr>
      <w:r>
        <w:rPr/>
      </w:r>
    </w:p>
    <w:p>
      <w:pPr>
        <w:pStyle w:val="TextBody"/>
        <w:bidi w:val="0"/>
        <w:spacing w:before="16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240"/>
        <w:jc w:val="both"/>
        <w:rPr>
          <w:rFonts w:ascii="Times New Roman;serif" w:hAnsi="Times New Roman;serif"/>
          <w:b/>
          <w:color w:val="000000"/>
          <w:sz w:val="24"/>
          <w:u w:val="single"/>
        </w:rPr>
      </w:pPr>
      <w:r>
        <w:rPr>
          <w:rFonts w:ascii="Times New Roman;serif" w:hAnsi="Times New Roman;serif"/>
          <w:b/>
          <w:color w:val="000000"/>
          <w:sz w:val="24"/>
          <w:u w:val="single"/>
        </w:rPr>
        <w:t>FORWARD LOOKING STATEMENTS:</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This press release contains forward-looking statements, which are subject to certain risks and reflect Cumberland’s current views on future events based on what it believes are reasonable assumptions. No assurance can be given that these events will occur. Forward-looking statements include, among other things, statements regarding the Company’s intent, belief or expectations, and can be identified by the use of terminology such as “may,” “will,” “expect,” “believe,” “intend,” “plan,” “estimate,” "goal", “should,” “seek,” “anticipate,” “look forward” and other comparable terms or the negative thereof. As with any business, all phases of Cumberland’s operations are subject to factors outside of its control, and any one or combination of these factors could materially affect Cumberland’s operation results. These factors include risks and uncertainties related to the strategic transaction, risks related to our ability to develop our pipeline of new product candidates, macroeconomic conditions, including changes in interest rates, inflation, tariffs, competition and other events beyond the Company’s control as more fully discussed in its most recent annual report on Form 10-K as filed with the U.S. Securities and Exchange Commission (“SEC”), as well as the Company’s other filings with the SEC from time to time. There can be no assurance that results anticipated by the company will be realized or that they will have the expected effects. Readers are cautioned not to place undue reliance on forward-looking statements, which speak only as of the date hereof. The Company does not undertake any obligation to publicly revise these statements to reflect events after the date hereof.</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SOURCE: Cumberland Pharmaceuticals Inc.</w:t>
      </w:r>
    </w:p>
    <w:p>
      <w:pPr>
        <w:pStyle w:val="TextBody"/>
        <w:bidi w:val="0"/>
        <w:spacing w:before="160" w:after="200"/>
        <w:jc w:val="center"/>
        <w:rPr/>
      </w:pPr>
      <w:r>
        <w:rPr/>
      </w:r>
    </w:p>
    <w:tbl>
      <w:tblPr>
        <w:tblW w:w="5040" w:type="dxa"/>
        <w:jc w:val="left"/>
        <w:tblInd w:w="0" w:type="dxa"/>
        <w:tblLayout w:type="fixed"/>
        <w:tblCellMar>
          <w:top w:w="28" w:type="dxa"/>
          <w:left w:w="28" w:type="dxa"/>
          <w:bottom w:w="28" w:type="dxa"/>
          <w:right w:w="28" w:type="dxa"/>
        </w:tblCellMar>
      </w:tblPr>
      <w:tblGrid>
        <w:gridCol w:w="1196"/>
        <w:gridCol w:w="1050"/>
        <w:gridCol w:w="1054"/>
        <w:gridCol w:w="509"/>
        <w:gridCol w:w="509"/>
        <w:gridCol w:w="722"/>
      </w:tblGrid>
      <w:tr>
        <w:trPr/>
        <w:tc>
          <w:tcPr>
            <w:tcW w:w="119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8" w:space="0" w:color="9A9A9A"/>
              <w:left w:val="single" w:sz="8" w:space="0" w:color="9A9A9A"/>
            </w:tcBorders>
            <w:tcMar>
              <w:top w:w="30" w:type="dxa"/>
              <w:bottom w:w="0" w:type="dxa"/>
              <w:right w:w="0" w:type="dxa"/>
            </w:tcMar>
            <w:vAlign w:val="center"/>
          </w:tcPr>
          <w:p>
            <w:pPr>
              <w:pStyle w:val="TableContents"/>
              <w:bidi w:val="0"/>
              <w:spacing w:lineRule="auto" w:line="369" w:before="33" w:after="30"/>
              <w:jc w:val="center"/>
              <w:rPr>
                <w:rFonts w:ascii="Times New Roman;serif" w:hAnsi="Times New Roman;serif"/>
                <w:b/>
                <w:color w:val="000000"/>
                <w:sz w:val="24"/>
              </w:rPr>
            </w:pPr>
            <w:r>
              <w:rPr>
                <w:rFonts w:ascii="Times New Roman;serif" w:hAnsi="Times New Roman;serif"/>
                <w:b/>
                <w:color w:val="000000"/>
                <w:sz w:val="24"/>
              </w:rPr>
              <w:t>Investor Contact:</w:t>
            </w:r>
          </w:p>
        </w:tc>
        <w:tc>
          <w:tcPr>
            <w:tcW w:w="1740" w:type="dxa"/>
            <w:gridSpan w:val="3"/>
            <w:tcBorders>
              <w:top w:val="single" w:sz="8" w:space="0" w:color="9A9A9A"/>
              <w:left w:val="single" w:sz="8" w:space="0" w:color="9A9A9A"/>
              <w:right w:val="single" w:sz="8" w:space="0" w:color="9A9A9A"/>
            </w:tcBorders>
            <w:tcMar>
              <w:top w:w="30" w:type="dxa"/>
              <w:bottom w:w="0" w:type="dxa"/>
            </w:tcMar>
            <w:vAlign w:val="center"/>
          </w:tcPr>
          <w:p>
            <w:pPr>
              <w:pStyle w:val="TableContents"/>
              <w:bidi w:val="0"/>
              <w:spacing w:lineRule="auto" w:line="369" w:before="33" w:after="30"/>
              <w:jc w:val="center"/>
              <w:rPr>
                <w:rFonts w:ascii="Times New Roman;serif" w:hAnsi="Times New Roman;serif"/>
                <w:b/>
                <w:color w:val="000000"/>
                <w:sz w:val="24"/>
              </w:rPr>
            </w:pPr>
            <w:r>
              <w:rPr>
                <w:rFonts w:ascii="Times New Roman;serif" w:hAnsi="Times New Roman;serif"/>
                <w:b/>
                <w:color w:val="000000"/>
                <w:sz w:val="24"/>
              </w:rPr>
              <w:t>Media Contact:</w:t>
            </w:r>
          </w:p>
        </w:tc>
      </w:tr>
      <w:tr>
        <w:trPr/>
        <w:tc>
          <w:tcPr>
            <w:tcW w:w="3300" w:type="dxa"/>
            <w:gridSpan w:val="3"/>
            <w:tcBorders>
              <w:top w:val="single" w:sz="8" w:space="0" w:color="9A9A9A"/>
              <w:left w:val="single" w:sz="8" w:space="0" w:color="9A9A9A"/>
            </w:tcBorders>
            <w:tcMar>
              <w:top w:w="30" w:type="dxa"/>
              <w:bottom w:w="0" w:type="dxa"/>
              <w:right w:w="0" w:type="dxa"/>
            </w:tcMar>
            <w:vAlign w:val="center"/>
          </w:tcPr>
          <w:p>
            <w:pPr>
              <w:pStyle w:val="TableContents"/>
              <w:bidi w:val="0"/>
              <w:spacing w:lineRule="auto" w:line="369" w:before="33" w:after="30"/>
              <w:jc w:val="center"/>
              <w:rPr>
                <w:rFonts w:ascii="Times New Roman;serif" w:hAnsi="Times New Roman;serif"/>
                <w:b w:val="false"/>
                <w:color w:val="000000"/>
                <w:sz w:val="24"/>
              </w:rPr>
            </w:pPr>
            <w:r>
              <w:rPr>
                <w:rFonts w:ascii="Times New Roman;serif" w:hAnsi="Times New Roman;serif"/>
                <w:b w:val="false"/>
                <w:color w:val="000000"/>
                <w:sz w:val="24"/>
              </w:rPr>
              <w:t>Shayla Simpson</w:t>
            </w:r>
          </w:p>
        </w:tc>
        <w:tc>
          <w:tcPr>
            <w:tcW w:w="1740" w:type="dxa"/>
            <w:gridSpan w:val="3"/>
            <w:tcBorders>
              <w:top w:val="single" w:sz="8" w:space="0" w:color="9A9A9A"/>
              <w:left w:val="single" w:sz="8" w:space="0" w:color="9A9A9A"/>
              <w:right w:val="single" w:sz="8" w:space="0" w:color="9A9A9A"/>
            </w:tcBorders>
            <w:tcMar>
              <w:top w:w="30" w:type="dxa"/>
              <w:bottom w:w="0" w:type="dxa"/>
            </w:tcMar>
            <w:vAlign w:val="center"/>
          </w:tcPr>
          <w:p>
            <w:pPr>
              <w:pStyle w:val="TableContents"/>
              <w:bidi w:val="0"/>
              <w:spacing w:lineRule="auto" w:line="369" w:before="33" w:after="30"/>
              <w:jc w:val="center"/>
              <w:rPr>
                <w:rFonts w:ascii="Times New Roman;serif" w:hAnsi="Times New Roman;serif"/>
                <w:b w:val="false"/>
                <w:color w:val="000000"/>
                <w:sz w:val="24"/>
              </w:rPr>
            </w:pPr>
            <w:r>
              <w:rPr>
                <w:rFonts w:ascii="Times New Roman;serif" w:hAnsi="Times New Roman;serif"/>
                <w:b w:val="false"/>
                <w:color w:val="000000"/>
                <w:sz w:val="24"/>
              </w:rPr>
              <w:t>Emily Kent</w:t>
            </w:r>
          </w:p>
        </w:tc>
      </w:tr>
      <w:tr>
        <w:trPr/>
        <w:tc>
          <w:tcPr>
            <w:tcW w:w="3300" w:type="dxa"/>
            <w:gridSpan w:val="3"/>
            <w:tcBorders>
              <w:top w:val="single" w:sz="8" w:space="0" w:color="9A9A9A"/>
              <w:left w:val="single" w:sz="8" w:space="0" w:color="9A9A9A"/>
            </w:tcBorders>
            <w:tcMar>
              <w:top w:w="30" w:type="dxa"/>
              <w:bottom w:w="0" w:type="dxa"/>
              <w:right w:w="0" w:type="dxa"/>
            </w:tcMar>
            <w:vAlign w:val="center"/>
          </w:tcPr>
          <w:p>
            <w:pPr>
              <w:pStyle w:val="TableContents"/>
              <w:bidi w:val="0"/>
              <w:spacing w:lineRule="auto" w:line="369" w:before="33" w:after="30"/>
              <w:jc w:val="center"/>
              <w:rPr>
                <w:rFonts w:ascii="Times New Roman;serif" w:hAnsi="Times New Roman;serif"/>
                <w:b w:val="false"/>
                <w:color w:val="000000"/>
                <w:sz w:val="24"/>
              </w:rPr>
            </w:pPr>
            <w:r>
              <w:rPr>
                <w:rFonts w:ascii="Times New Roman;serif" w:hAnsi="Times New Roman;serif"/>
                <w:b w:val="false"/>
                <w:color w:val="000000"/>
                <w:sz w:val="24"/>
              </w:rPr>
              <w:t>Cumberland Pharmaceuticals Inc.</w:t>
            </w:r>
          </w:p>
        </w:tc>
        <w:tc>
          <w:tcPr>
            <w:tcW w:w="1740" w:type="dxa"/>
            <w:gridSpan w:val="3"/>
            <w:tcBorders>
              <w:top w:val="single" w:sz="8" w:space="0" w:color="9A9A9A"/>
              <w:left w:val="single" w:sz="8" w:space="0" w:color="9A9A9A"/>
              <w:right w:val="single" w:sz="8" w:space="0" w:color="9A9A9A"/>
            </w:tcBorders>
            <w:tcMar>
              <w:top w:w="30" w:type="dxa"/>
              <w:bottom w:w="0" w:type="dxa"/>
            </w:tcMar>
            <w:vAlign w:val="center"/>
          </w:tcPr>
          <w:p>
            <w:pPr>
              <w:pStyle w:val="TableContents"/>
              <w:bidi w:val="0"/>
              <w:spacing w:lineRule="auto" w:line="369" w:before="33" w:after="30"/>
              <w:jc w:val="center"/>
              <w:rPr>
                <w:rFonts w:ascii="Times New Roman;serif" w:hAnsi="Times New Roman;serif"/>
                <w:b w:val="false"/>
                <w:color w:val="000000"/>
                <w:sz w:val="24"/>
              </w:rPr>
            </w:pPr>
            <w:r>
              <w:rPr>
                <w:rFonts w:ascii="Times New Roman;serif" w:hAnsi="Times New Roman;serif"/>
                <w:b w:val="false"/>
                <w:color w:val="000000"/>
                <w:sz w:val="24"/>
              </w:rPr>
              <w:t>Dalton Agency</w:t>
            </w:r>
          </w:p>
        </w:tc>
      </w:tr>
      <w:tr>
        <w:trPr/>
        <w:tc>
          <w:tcPr>
            <w:tcW w:w="3300" w:type="dxa"/>
            <w:gridSpan w:val="3"/>
            <w:tcBorders>
              <w:top w:val="single" w:sz="8" w:space="0" w:color="9A9A9A"/>
              <w:left w:val="single" w:sz="8" w:space="0" w:color="9A9A9A"/>
              <w:bottom w:val="single" w:sz="8" w:space="0" w:color="9A9A9A"/>
            </w:tcBorders>
            <w:tcMar>
              <w:top w:w="30" w:type="dxa"/>
              <w:bottom w:w="30" w:type="dxa"/>
              <w:right w:w="0" w:type="dxa"/>
            </w:tcMar>
            <w:vAlign w:val="center"/>
          </w:tcPr>
          <w:p>
            <w:pPr>
              <w:pStyle w:val="TableContents"/>
              <w:bidi w:val="0"/>
              <w:spacing w:lineRule="auto" w:line="369" w:before="33" w:after="30"/>
              <w:jc w:val="center"/>
              <w:rPr>
                <w:rFonts w:ascii="Times New Roman;serif" w:hAnsi="Times New Roman;serif"/>
                <w:b w:val="false"/>
                <w:color w:val="000000"/>
                <w:sz w:val="24"/>
              </w:rPr>
            </w:pPr>
            <w:r>
              <w:rPr>
                <w:rFonts w:ascii="Times New Roman;serif" w:hAnsi="Times New Roman;serif"/>
                <w:b w:val="false"/>
                <w:color w:val="000000"/>
                <w:sz w:val="24"/>
              </w:rPr>
              <w:t>(615) 255-0068</w:t>
            </w:r>
          </w:p>
        </w:tc>
        <w:tc>
          <w:tcPr>
            <w:tcW w:w="1740" w:type="dxa"/>
            <w:gridSpan w:val="3"/>
            <w:tcBorders>
              <w:top w:val="single" w:sz="8" w:space="0" w:color="9A9A9A"/>
              <w:left w:val="single" w:sz="8" w:space="0" w:color="9A9A9A"/>
              <w:bottom w:val="single" w:sz="8" w:space="0" w:color="9A9A9A"/>
              <w:right w:val="single" w:sz="8" w:space="0" w:color="9A9A9A"/>
            </w:tcBorders>
            <w:tcMar>
              <w:top w:w="30" w:type="dxa"/>
              <w:bottom w:w="30" w:type="dxa"/>
            </w:tcMar>
            <w:vAlign w:val="center"/>
          </w:tcPr>
          <w:p>
            <w:pPr>
              <w:pStyle w:val="TableContents"/>
              <w:bidi w:val="0"/>
              <w:spacing w:lineRule="auto" w:line="369" w:before="33" w:after="30"/>
              <w:jc w:val="center"/>
              <w:rPr>
                <w:rFonts w:ascii="Times New Roman;serif" w:hAnsi="Times New Roman;serif"/>
                <w:b w:val="false"/>
                <w:color w:val="000000"/>
                <w:sz w:val="24"/>
              </w:rPr>
            </w:pPr>
            <w:r>
              <w:rPr>
                <w:rFonts w:ascii="Times New Roman;serif" w:hAnsi="Times New Roman;serif"/>
                <w:b w:val="false"/>
                <w:color w:val="000000"/>
                <w:sz w:val="24"/>
              </w:rPr>
              <w:t>(540) 621-5448</w:t>
            </w:r>
          </w:p>
        </w:tc>
      </w:tr>
    </w:tbl>
    <w:p>
      <w:pPr>
        <w:pStyle w:val="TextBody"/>
        <w:bidi w:val="0"/>
        <w:spacing w:before="160" w:after="160"/>
        <w:jc w:val="center"/>
        <w:rPr/>
      </w:pPr>
      <w:r>
        <w:rPr/>
      </w:r>
    </w:p>
    <w:p>
      <w:pPr>
        <w:pStyle w:val="TextBody"/>
        <w:bidi w:val="0"/>
        <w:spacing w:lineRule="auto" w:line="288" w:before="160" w:after="160"/>
        <w:jc w:val="center"/>
        <w:rPr>
          <w:rFonts w:ascii="Times New Roman;serif" w:hAnsi="Times New Roman;serif"/>
          <w:b w:val="false"/>
          <w:color w:val="000000"/>
          <w:sz w:val="24"/>
        </w:rPr>
      </w:pPr>
      <w:r>
        <w:rPr>
          <w:rFonts w:ascii="Times New Roman;serif" w:hAnsi="Times New Roman;serif"/>
          <w:b w:val="false"/>
          <w:color w:val="000000"/>
          <w:sz w:val="24"/>
        </w:rPr>
        <w:t>- MORE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662"/>
        <w:gridCol w:w="2131"/>
        <w:gridCol w:w="2103"/>
        <w:gridCol w:w="211"/>
        <w:gridCol w:w="1081"/>
        <w:gridCol w:w="109"/>
        <w:gridCol w:w="109"/>
        <w:gridCol w:w="109"/>
        <w:gridCol w:w="109"/>
        <w:gridCol w:w="230"/>
        <w:gridCol w:w="1181"/>
        <w:gridCol w:w="170"/>
      </w:tblGrid>
      <w:tr>
        <w:trPr/>
        <w:tc>
          <w:tcPr>
            <w:tcW w:w="2662"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3,862,402 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11,444,693 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13,419,594 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16,944,780 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654,166 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held for sale/related to discontinued operations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15,653,221 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7,986,693 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33,641,145 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37,060,267 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inventories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264,724 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53,621 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7,281,280 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5,781,728 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2,973,378 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sale/related to discontinued operations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18,452,155 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30,649,395 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62,879,694 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76,823,992 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19,554,251 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18,567,546 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current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467,774 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r>
      <w:tr>
        <w:trPr/>
        <w:tc>
          <w:tcPr>
            <w:tcW w:w="6896"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9,760,767 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10,630,095 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held for sale/related to discontinued operations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5,375,104 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7,079,504 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35,193,138 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36,744,919 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line of credit - long term</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5,240,733 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non-current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4,211,168 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4,471,965 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3,626,875 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held for sale/related to discontinued operations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2,195,278 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45,773,246 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52,279,770 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no par value; 100,000,000 shares authorized; 14,983,107 and 14,956,627 shares issued and outstanding as of June 30, 2026, and December 31, 2025, respectively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51,808,088 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51,684,381 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(34,370,075)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(26,804,059)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17,438,013 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24,880,322 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(336,100)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17,106,448 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24,544,222 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62,879,694 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76,823,992 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100" w:after="283"/>
        <w:jc w:val="center"/>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34"/>
        <w:gridCol w:w="1224"/>
        <w:gridCol w:w="1228"/>
        <w:gridCol w:w="211"/>
        <w:gridCol w:w="1026"/>
        <w:gridCol w:w="109"/>
        <w:gridCol w:w="109"/>
        <w:gridCol w:w="109"/>
        <w:gridCol w:w="109"/>
        <w:gridCol w:w="211"/>
        <w:gridCol w:w="888"/>
        <w:gridCol w:w="109"/>
        <w:gridCol w:w="109"/>
        <w:gridCol w:w="109"/>
        <w:gridCol w:w="109"/>
        <w:gridCol w:w="211"/>
        <w:gridCol w:w="1026"/>
        <w:gridCol w:w="109"/>
        <w:gridCol w:w="109"/>
        <w:gridCol w:w="109"/>
        <w:gridCol w:w="109"/>
        <w:gridCol w:w="219"/>
        <w:gridCol w:w="862"/>
        <w:gridCol w:w="157"/>
      </w:tblGrid>
      <w:tr>
        <w:trPr/>
        <w:tc>
          <w:tcPr>
            <w:tcW w:w="1634"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 from continuing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547,425 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4086"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1,522,188 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4,870,980 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4,855,889 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3,326,919 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3,500,316 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6,423,139 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6,389,921 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(3,160,461)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(3,119,519)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(6,092,831)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(5,842,496)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253,198 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(3,100,301)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(2,992,501)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(5,954,706)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(5,594,161)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(3,104,171)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(2,998,171)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(5,962,447)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(5,605,502)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discontinued operations</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(1,009,531)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6,118,479 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(4,113,702)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(735,206)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(7,561,481)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512,977 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 subsidiary attributable to noncontrolling interests</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(4,115,649)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(7,566,016)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516,328 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per share attributable to common shareholders</w:t>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Continuing operations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Discontinued operations - basic</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Continuing operations -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Discontinued operations - diluted</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w:t>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basic</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14,981,607 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14,960,596 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14,970,968 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14,951,609 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diluted</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14,981,607 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14,960,596 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14,970,968 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14,951,609 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2561"/>
        <w:gridCol w:w="2247"/>
        <w:gridCol w:w="2254"/>
        <w:gridCol w:w="211"/>
        <w:gridCol w:w="1049"/>
        <w:gridCol w:w="109"/>
        <w:gridCol w:w="109"/>
        <w:gridCol w:w="109"/>
        <w:gridCol w:w="109"/>
        <w:gridCol w:w="211"/>
        <w:gridCol w:w="1081"/>
        <w:gridCol w:w="155"/>
      </w:tblGrid>
      <w:tr>
        <w:trPr/>
        <w:tc>
          <w:tcPr>
            <w:tcW w:w="2561"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7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(7,561,481)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512,977 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operating activities:</w:t>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lease right-of-use asset</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570,369 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cash surrender value of life insurance policies over premiums paid</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62"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in assets and liabilities affecting operating activities:</w:t>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1,384,555 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2,226,426 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and other assets</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(1,637,609)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(440,442)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current liabilities</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(1,977,819)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(50,764)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 from continuing operations</w:t>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(2,604,360)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790,576 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3,930,156 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4,720,732 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and equipment</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(74,116)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cash surrender value of life insurance policies</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of investment in manufacturing</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intangible assets</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from continuing operations</w:t>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(1,842,132)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(84,642)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(836,095)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(1,991,676)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(920,737)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ATM offering, net</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5,266,334 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line of credit</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(10,035,437)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made in connection with repurchase of common shares</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(253,039)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from continuing operations</w:t>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(5,301,734)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(5,022,142)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(848,731)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(654,757)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(6,150,465)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(5,676,899)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(7,582,291)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(1,876,904)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17,964,184 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3,862,402 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16,087,280 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062"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62"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62"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62"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62"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62"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62"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62"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CUMBERLAND PHARMACEUTICALS INC. AND SUBSIDIARIES</w:t>
      </w:r>
    </w:p>
    <w:p>
      <w:pPr>
        <w:pStyle w:val="TextBody"/>
        <w:bidi w:val="0"/>
        <w:spacing w:lineRule="auto" w:line="288" w:before="80" w:after="283"/>
        <w:jc w:val="center"/>
        <w:rPr>
          <w:rFonts w:ascii="Times New Roman;serif" w:hAnsi="Times New Roman;serif"/>
          <w:b w:val="false"/>
          <w:color w:val="000000"/>
          <w:sz w:val="24"/>
        </w:rPr>
      </w:pPr>
      <w:r>
        <w:rPr>
          <w:rFonts w:ascii="Times New Roman;serif" w:hAnsi="Times New Roman;serif"/>
          <w:b w:val="false"/>
          <w:color w:val="000000"/>
          <w:sz w:val="24"/>
        </w:rPr>
        <w:t>Reconciliation of Net Income (loss) Attributable to Common Shareholders to Adjusted Earnings (loss) and Adjusted Diluted Earnings (loss) Per Share</w:t>
      </w:r>
    </w:p>
    <w:p>
      <w:pPr>
        <w:pStyle w:val="TextBody"/>
        <w:bidi w:val="0"/>
        <w:spacing w:lineRule="auto" w:line="288" w:before="80" w:after="283"/>
        <w:jc w:val="center"/>
        <w:rPr>
          <w:rFonts w:ascii="Times New Roman;serif" w:hAnsi="Times New Roman;serif"/>
          <w:b w:val="false"/>
          <w:color w:val="000000"/>
          <w:sz w:val="24"/>
        </w:rPr>
      </w:pPr>
      <w:r>
        <w:rPr>
          <w:rFonts w:ascii="Times New Roman;serif" w:hAnsi="Times New Roman;serif"/>
          <w:b w:val="false"/>
          <w:color w:val="000000"/>
          <w:sz w:val="24"/>
        </w:rPr>
        <w:t>(Unaudited)</w:t>
      </w:r>
    </w:p>
    <w:tbl>
      <w:tblPr>
        <w:tblW w:w="10205" w:type="dxa"/>
        <w:jc w:val="center"/>
        <w:tblInd w:w="0" w:type="dxa"/>
        <w:tblLayout w:type="fixed"/>
        <w:tblCellMar>
          <w:top w:w="28" w:type="dxa"/>
          <w:left w:w="28" w:type="dxa"/>
          <w:bottom w:w="28" w:type="dxa"/>
          <w:right w:w="28" w:type="dxa"/>
        </w:tblCellMar>
      </w:tblPr>
      <w:tblGrid>
        <w:gridCol w:w="1274"/>
        <w:gridCol w:w="917"/>
        <w:gridCol w:w="922"/>
        <w:gridCol w:w="109"/>
        <w:gridCol w:w="109"/>
        <w:gridCol w:w="109"/>
        <w:gridCol w:w="213"/>
        <w:gridCol w:w="1024"/>
        <w:gridCol w:w="110"/>
        <w:gridCol w:w="109"/>
        <w:gridCol w:w="109"/>
        <w:gridCol w:w="109"/>
        <w:gridCol w:w="510"/>
        <w:gridCol w:w="850"/>
        <w:gridCol w:w="159"/>
        <w:gridCol w:w="109"/>
        <w:gridCol w:w="109"/>
        <w:gridCol w:w="109"/>
        <w:gridCol w:w="213"/>
        <w:gridCol w:w="1024"/>
        <w:gridCol w:w="110"/>
        <w:gridCol w:w="109"/>
        <w:gridCol w:w="109"/>
        <w:gridCol w:w="109"/>
        <w:gridCol w:w="496"/>
        <w:gridCol w:w="846"/>
        <w:gridCol w:w="229"/>
      </w:tblGrid>
      <w:tr>
        <w:trPr/>
        <w:tc>
          <w:tcPr>
            <w:tcW w:w="127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3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Earnings 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Earnings per share 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Earnings 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Earnings per share impact</w:t>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(4,115,649)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(740,740)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 subsidiary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(4,113,702)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(735,207)</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(1,009,531)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2,262,965 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(3,104,171)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(2,998,171)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Share-based compensation </w:t>
            </w:r>
            <w:r>
              <w:rPr>
                <w:rFonts w:ascii="Times New Roman;serif" w:hAnsi="Times New Roman;serif"/>
                <w:b w:val="false"/>
                <w:color w:val="000000"/>
                <w:sz w:val="13"/>
              </w:rPr>
              <w:t xml:space="preserve">(a)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77,866 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80,686 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(60,884)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(127,489)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color w:val="000000"/>
                <w:sz w:val="20"/>
              </w:rPr>
            </w:pPr>
            <w:r>
              <w:rPr>
                <w:rFonts w:ascii="Times New Roman;serif" w:hAnsi="Times New Roman;serif"/>
                <w:b/>
                <w:color w:val="000000"/>
                <w:sz w:val="20"/>
              </w:rPr>
              <w:t>Adjusted earnings (loss) and adjusted diluted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(3,045,191)</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(2,994,266)</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14,981,607 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14,960,596 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Additional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Reduction in the carrying amount of right-of-use assets </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CUMBERLAND PHARMACEUTICALS INC. AND SUBSIDIARIES</w:t>
      </w:r>
    </w:p>
    <w:p>
      <w:pPr>
        <w:pStyle w:val="TextBody"/>
        <w:bidi w:val="0"/>
        <w:spacing w:lineRule="auto" w:line="288" w:before="80" w:after="283"/>
        <w:jc w:val="center"/>
        <w:rPr>
          <w:rFonts w:ascii="Times New Roman;serif" w:hAnsi="Times New Roman;serif"/>
          <w:b w:val="false"/>
          <w:color w:val="000000"/>
          <w:sz w:val="24"/>
        </w:rPr>
      </w:pPr>
      <w:r>
        <w:rPr>
          <w:rFonts w:ascii="Times New Roman;serif" w:hAnsi="Times New Roman;serif"/>
          <w:b w:val="false"/>
          <w:color w:val="000000"/>
          <w:sz w:val="24"/>
        </w:rPr>
        <w:t>Reconciliation of Net Income (loss) Attributable to Common Shareholders to Adjusted Earnings (loss) and Adjusted Diluted Earnings (loss) Per Share</w:t>
      </w:r>
    </w:p>
    <w:p>
      <w:pPr>
        <w:pStyle w:val="TextBody"/>
        <w:bidi w:val="0"/>
        <w:spacing w:lineRule="auto" w:line="288" w:before="80" w:after="283"/>
        <w:jc w:val="center"/>
        <w:rPr>
          <w:rFonts w:ascii="Times New Roman;serif" w:hAnsi="Times New Roman;serif"/>
          <w:b w:val="false"/>
          <w:color w:val="000000"/>
          <w:sz w:val="24"/>
        </w:rPr>
      </w:pPr>
      <w:r>
        <w:rPr>
          <w:rFonts w:ascii="Times New Roman;serif" w:hAnsi="Times New Roman;serif"/>
          <w:b w:val="false"/>
          <w:color w:val="000000"/>
          <w:sz w:val="24"/>
        </w:rPr>
        <w:t>(Unaudited)</w:t>
      </w:r>
    </w:p>
    <w:tbl>
      <w:tblPr>
        <w:tblW w:w="10205" w:type="dxa"/>
        <w:jc w:val="center"/>
        <w:tblInd w:w="0" w:type="dxa"/>
        <w:tblLayout w:type="fixed"/>
        <w:tblCellMar>
          <w:top w:w="28" w:type="dxa"/>
          <w:left w:w="28" w:type="dxa"/>
          <w:bottom w:w="28" w:type="dxa"/>
          <w:right w:w="28" w:type="dxa"/>
        </w:tblCellMar>
      </w:tblPr>
      <w:tblGrid>
        <w:gridCol w:w="1274"/>
        <w:gridCol w:w="917"/>
        <w:gridCol w:w="922"/>
        <w:gridCol w:w="109"/>
        <w:gridCol w:w="109"/>
        <w:gridCol w:w="109"/>
        <w:gridCol w:w="213"/>
        <w:gridCol w:w="1024"/>
        <w:gridCol w:w="110"/>
        <w:gridCol w:w="109"/>
        <w:gridCol w:w="109"/>
        <w:gridCol w:w="109"/>
        <w:gridCol w:w="510"/>
        <w:gridCol w:w="850"/>
        <w:gridCol w:w="159"/>
        <w:gridCol w:w="109"/>
        <w:gridCol w:w="109"/>
        <w:gridCol w:w="109"/>
        <w:gridCol w:w="213"/>
        <w:gridCol w:w="1024"/>
        <w:gridCol w:w="110"/>
        <w:gridCol w:w="109"/>
        <w:gridCol w:w="109"/>
        <w:gridCol w:w="109"/>
        <w:gridCol w:w="496"/>
        <w:gridCol w:w="846"/>
        <w:gridCol w:w="229"/>
      </w:tblGrid>
      <w:tr>
        <w:trPr/>
        <w:tc>
          <w:tcPr>
            <w:tcW w:w="127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Earnings 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Earnings per share 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Earnings 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Earnings per share impact</w:t>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(7,566,016)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516,328 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 subsidiary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(7,561,481)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512,977 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(1,599,034)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6,118,479 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(5,962,447)</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(5,605,502)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77,769 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Share-based compensation </w:t>
            </w:r>
            <w:r>
              <w:rPr>
                <w:rFonts w:ascii="Times New Roman;serif" w:hAnsi="Times New Roman;serif"/>
                <w:b w:val="false"/>
                <w:color w:val="000000"/>
                <w:sz w:val="13"/>
              </w:rPr>
              <w:t xml:space="preserve">(a)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(138,915)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(253,198)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color w:val="000000"/>
                <w:sz w:val="18"/>
              </w:rPr>
            </w:pPr>
            <w:r>
              <w:rPr>
                <w:rFonts w:ascii="Times New Roman;serif" w:hAnsi="Times New Roman;serif"/>
                <w:b/>
                <w:color w:val="000000"/>
                <w:sz w:val="18"/>
              </w:rPr>
              <w:t>Adjusted earnings (loss) and adjusted diluted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(5,836,504)</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(5,609,829)</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14,970,968 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14,951,609 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Additional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Reduction in the carrying amount of right-of-use assets </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570,369 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570,369 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Company provided the above adjusted supplemental financial performance measures, which are considered "non-GAAP" financial measures under applicable SEC rules and regulations. These financial measures should be considered supplemental to, and not as a substitute for, financial information prepared in accordance with Generally Accepted Accounting Principles ("GAAP"). The definition of these supplemental measures may differ from similarly titled measures used by others.</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Because these supplemental financial measures exclude the effect of items that will increase or decrease the Company's reported results of operations, management encourages investors to review the Company's consolidated financial statements and publicly filed reports in their entirety. A reconciliation of the supplemental financial measures to the most directly comparable GAAP financial measures is included in the tables accompanying this release.</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Cumberland's management believes these supplemental financial performance measures are important as they are used by management, along with financial measures in accordance with GAAP, to evaluate the Company's operating performance. In addition, Cumberland believes that they will be used by certain investors to measure the Company's operating results. Management believes that presenting these supplemental measures provides useful information about the Company's underlying performance across reporting periods on a consistent basis by excluding items that Cumberland does not believe are indicative of its core business performance or reflect long-term strategic activities. Certain of these items are not settled through cash payments and include: depreciation, amortization of intangible and right-of-use assets, share-based compensation expense and income taxes. Cumberland utilizes its net operating loss carryforwards to pay minimal income taxes. In addition, the use of these financial measures provides greater transparency to investors of supplemental information used by management in its financial and operational decision-making, including the evaluation of the Company's operating performance.</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The Company defines these supplemental financial measures as follows: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4"/>
        </w:rPr>
        <w:t xml:space="preserve">Adjusted Earnings (loss): </w:t>
      </w:r>
      <w:r>
        <w:rPr>
          <w:rFonts w:ascii="Times New Roman;serif" w:hAnsi="Times New Roman;serif"/>
          <w:b w:val="false"/>
          <w:color w:val="000000"/>
          <w:sz w:val="24"/>
        </w:rPr>
        <w:t xml:space="preserve">Net income (loss) adjusted for the impact of income taxes, depreciation and amortization expense, share-based compensation, interest income and interest expense. </w:t>
      </w:r>
    </w:p>
    <w:p>
      <w:pPr>
        <w:pStyle w:val="TextBody"/>
        <w:bidi w:val="0"/>
        <w:spacing w:lineRule="auto" w:line="288" w:before="160" w:after="283"/>
        <w:jc w:val="left"/>
        <w:rPr>
          <w:rFonts w:ascii="Times New Roman;serif" w:hAnsi="Times New Roman;serif"/>
          <w:b w:val="false"/>
          <w:color w:val="000000"/>
          <w:sz w:val="24"/>
        </w:rPr>
      </w:pPr>
      <w:r>
        <w:rPr>
          <w:rFonts w:ascii="Times New Roman;serif" w:hAnsi="Times New Roman;serif"/>
          <w:b w:val="false"/>
          <w:color w:val="000000"/>
          <w:sz w:val="24"/>
        </w:rPr>
        <w:t>(a)    Represents the share-based compensation of Cumberland.</w:t>
      </w:r>
    </w:p>
    <w:p>
      <w:pPr>
        <w:pStyle w:val="TextBody"/>
        <w:bidi w:val="0"/>
        <w:spacing w:lineRule="auto" w:line="288" w:before="160" w:after="283"/>
        <w:jc w:val="left"/>
        <w:rPr>
          <w:rFonts w:ascii="Times New Roman;serif" w:hAnsi="Times New Roman;serif"/>
          <w:b w:val="false"/>
          <w:color w:val="000000"/>
          <w:sz w:val="24"/>
        </w:rPr>
      </w:pPr>
      <w:r>
        <w:rPr>
          <w:rFonts w:ascii="Times New Roman;serif" w:hAnsi="Times New Roman;serif"/>
          <w:b w:val="false"/>
          <w:color w:val="000000"/>
          <w:sz w:val="24"/>
        </w:rPr>
        <w:t>(b)    Represents the straight line reduction in carrying value of right-of-use assets.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4"/>
        </w:rPr>
        <w:t>Adjusted Diluted Earnings (loss) Per Share:</w:t>
      </w:r>
      <w:r>
        <w:rPr>
          <w:color w:val="000000"/>
        </w:rPr>
        <w:t xml:space="preserve"> </w:t>
      </w:r>
      <w:r>
        <w:rPr>
          <w:rFonts w:ascii="Times New Roman;serif" w:hAnsi="Times New Roman;serif"/>
          <w:b w:val="false"/>
          <w:color w:val="000000"/>
          <w:sz w:val="24"/>
        </w:rPr>
        <w:t xml:space="preserve">Adjusted Earnings (loss) divided by diluted weighted-average common shares outstanding. </w:t>
      </w:r>
    </w:p>
    <w:p>
      <w:pPr>
        <w:pStyle w:val="TextBody"/>
        <w:bidi w:val="0"/>
        <w:spacing w:before="0" w:after="0"/>
        <w:jc w:val="both"/>
        <w:rPr/>
      </w:pPr>
      <w:r>
        <w:rPr/>
      </w:r>
    </w:p>
    <w:p>
      <w:pPr>
        <w:pStyle w:val="TextBody"/>
        <w:bidi w:val="0"/>
        <w:spacing w:before="16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3416</Words>
  <Characters>21369</Characters>
  <CharactersWithSpaces>24390</CharactersWithSpaces>
  <Paragraphs>648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