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July 13, 2026 (July 13,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CUMBERLAND PHARMACEUTICALS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Tennessee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001-33637</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62-1765329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1600 West End Avenue, Suite 1300 Nashville, Tennessee 37203</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(615) 255-0068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798" w:type="dxa"/>
        <w:jc w:val="center"/>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13, 2026, the Board of Directors of Cumberland Pharmaceuticals Inc., (the “Cumberland” or “Company”) authorized and declared a special cash dividend of $1.50 per share of common stock payable in cash to the Company’s shareholders of record as of July 23, 2026. The dividend will be payable on or about July 31, 2026.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Cumberland previously announced the closing of a Strategic Transaction with Apotex Health Corp. (“Apotex”), an affiliate of Apotex, Inc., resulting in the integration of the U.S.-branded businesses. Cumberland received $100 million in cash at closing for its line of FDA-approved products. In addition, Cumberland expects to receive up to $11 million in additional payments associated with product inventory and transitional support services.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closing of the transaction with Apotex, an analysis by the Company’s tax advisors, along with refined financial projections, indicated greater net cash from the transaction than originally projected. Therefore, Cumberland’s Board of Directors met to assess the Company’s future cash needs and evaluate possible alternatives for the excess capital.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special dividend, the Board authorized an open-market share repurchase program of up to $5 million in Cumberland shares of common stock over time. This replaces the previous share repurchase program established in January 2019 that allowed $10 million of share repurchases, of which $2.1 million remained available. The timing and actual number of shares repurchased pursuant the Company’s repurchase program will be determined by management depending on a variety of factors, including stock price, trading volume, market conditions, and other general business considerations. Several Board members will also be establishing new share purchase plans to increase their holdings in the Company.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13, 2026, the Company issued a press release announcing the special cash dividend. A copy of the press release is furnished as Exhibit 99.1 to this Current Report on Form 8-K and is incorporated into this Item 8.01 in this Current Report on Form 8-K by reference.</w:t>
      </w:r>
    </w:p>
    <w:p>
      <w:pPr>
        <w:pStyle w:val="TextBody"/>
        <w:bidi w:val="0"/>
        <w:spacing w:lineRule="auto" w:line="288" w:before="160" w:after="283"/>
        <w:jc w:val="both"/>
        <w:rPr/>
      </w:pPr>
      <w:r>
        <w:rPr>
          <w:rFonts w:ascii="Times New Roman;serif" w:hAnsi="Times New Roman;serif"/>
          <w:b w:val="false"/>
          <w:color w:val="000000"/>
          <w:sz w:val="20"/>
        </w:rPr>
        <w:t xml:space="preserve">A copy of the release is furnished as </w:t>
      </w:r>
      <w:hyperlink w:anchor="cumberlandannouncesspecial.htm">
        <w:r>
          <w:rPr>
            <w:rStyle w:val="InternetLink"/>
            <w:rFonts w:ascii="Times New Roman;serif" w:hAnsi="Times New Roman;serif"/>
            <w:b w:val="false"/>
            <w:color w:val="0000FF"/>
            <w:sz w:val="20"/>
            <w:u w:val="single"/>
          </w:rPr>
          <w:t>Exhibit 99.1.</w:t>
        </w:r>
      </w:hyperlink>
    </w:p>
    <w:tbl>
      <w:tblPr>
        <w:tblW w:w="3926" w:type="dxa"/>
        <w:jc w:val="left"/>
        <w:tblInd w:w="0" w:type="dxa"/>
        <w:tblLayout w:type="fixed"/>
        <w:tblCellMar>
          <w:top w:w="28" w:type="dxa"/>
          <w:left w:w="28" w:type="dxa"/>
          <w:bottom w:w="28" w:type="dxa"/>
          <w:right w:w="28" w:type="dxa"/>
        </w:tblCellMar>
      </w:tblPr>
      <w:tblGrid>
        <w:gridCol w:w="288"/>
        <w:gridCol w:w="252"/>
        <w:gridCol w:w="255"/>
        <w:gridCol w:w="109"/>
        <w:gridCol w:w="109"/>
        <w:gridCol w:w="109"/>
        <w:gridCol w:w="820"/>
        <w:gridCol w:w="820"/>
        <w:gridCol w:w="1164"/>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w:t>
            </w:r>
          </w:p>
        </w:tc>
      </w:tr>
      <w:tr>
        <w:trPr/>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umberlandannouncesspecia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umberlandannouncesspecial.htm">
              <w:r>
                <w:rPr>
                  <w:rStyle w:val="InternetLink"/>
                  <w:rFonts w:ascii="Times New Roman;serif" w:hAnsi="Times New Roman;serif"/>
                  <w:b w:val="false"/>
                  <w:color w:val="0000FF"/>
                  <w:sz w:val="20"/>
                  <w:u w:val="single"/>
                </w:rPr>
                <w:t>Press release dated July 13, 2026</w:t>
              </w:r>
            </w:hyperlink>
          </w:p>
        </w:tc>
      </w:tr>
    </w:tbl>
    <w:p>
      <w:pPr>
        <w:pStyle w:val="TextBody"/>
        <w:bidi w:val="0"/>
        <w:spacing w:before="160" w:after="283"/>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This filing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the risks inherent in clinical development, regulatory review, and the commercialization of ifetroban and other pipeline or CET-supported assets, natural disasters, public health epidemics, and other events beyond our control, as more fully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5"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25"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11" w:type="dxa"/>
        <w:jc w:val="center"/>
        <w:tblInd w:w="0" w:type="dxa"/>
        <w:tblLayout w:type="fixed"/>
        <w:tblCellMar>
          <w:top w:w="28" w:type="dxa"/>
          <w:left w:w="28" w:type="dxa"/>
          <w:bottom w:w="28" w:type="dxa"/>
          <w:right w:w="28" w:type="dxa"/>
        </w:tblCellMar>
      </w:tblPr>
      <w:tblGrid>
        <w:gridCol w:w="656"/>
        <w:gridCol w:w="576"/>
        <w:gridCol w:w="582"/>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Cumberland Pharmaceuticals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13,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Hamm</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60"/>
        <w:jc w:val="center"/>
        <w:rPr/>
      </w:pPr>
      <w:r>
        <w:rPr/>
        <w:drawing>
          <wp:inline distT="0" distB="0" distL="0" distR="0">
            <wp:extent cx="3543300"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543300" cy="800100"/>
                    </a:xfrm>
                    <a:prstGeom prst="rect">
                      <a:avLst/>
                    </a:prstGeom>
                  </pic:spPr>
                </pic:pic>
              </a:graphicData>
            </a:graphic>
          </wp:inline>
        </w:drawing>
      </w:r>
    </w:p>
    <w:p>
      <w:pPr>
        <w:pStyle w:val="TextBody"/>
        <w:bidi w:val="0"/>
        <w:spacing w:lineRule="auto" w:line="300" w:before="240" w:after="120"/>
        <w:jc w:val="center"/>
        <w:rPr>
          <w:rFonts w:ascii="Times New Roman;serif" w:hAnsi="Times New Roman;serif"/>
          <w:b/>
          <w:color w:val="000000"/>
          <w:sz w:val="24"/>
        </w:rPr>
      </w:pPr>
      <w:r>
        <w:rPr>
          <w:rFonts w:ascii="Times New Roman;serif" w:hAnsi="Times New Roman;serif"/>
          <w:b/>
          <w:color w:val="000000"/>
          <w:sz w:val="24"/>
        </w:rPr>
        <w:t>CUMBERLAND PHARMACEUTICALS</w:t>
      </w:r>
    </w:p>
    <w:p>
      <w:pPr>
        <w:pStyle w:val="TextBody"/>
        <w:bidi w:val="0"/>
        <w:spacing w:lineRule="auto" w:line="300" w:before="0" w:after="200"/>
        <w:jc w:val="center"/>
        <w:rPr>
          <w:rFonts w:ascii="Times New Roman;serif" w:hAnsi="Times New Roman;serif"/>
          <w:b/>
          <w:color w:val="000000"/>
          <w:sz w:val="24"/>
        </w:rPr>
      </w:pPr>
      <w:r>
        <w:rPr>
          <w:rFonts w:ascii="Times New Roman;serif" w:hAnsi="Times New Roman;serif"/>
          <w:b/>
          <w:color w:val="000000"/>
          <w:sz w:val="24"/>
        </w:rPr>
        <w:t>ANNOUNCES SPECIAL DIVIDEND OF $1.50 PER SHARE</w:t>
      </w:r>
    </w:p>
    <w:p>
      <w:pPr>
        <w:pStyle w:val="TextBody"/>
        <w:bidi w:val="0"/>
        <w:spacing w:lineRule="auto" w:line="300" w:before="0" w:after="120"/>
        <w:jc w:val="center"/>
        <w:rPr>
          <w:rFonts w:ascii="Times New Roman;serif" w:hAnsi="Times New Roman;serif"/>
          <w:b w:val="false"/>
          <w:i/>
          <w:color w:val="000000"/>
          <w:sz w:val="24"/>
        </w:rPr>
      </w:pPr>
      <w:r>
        <w:rPr>
          <w:rFonts w:ascii="Times New Roman;serif" w:hAnsi="Times New Roman;serif"/>
          <w:b w:val="false"/>
          <w:i/>
          <w:color w:val="000000"/>
          <w:sz w:val="24"/>
        </w:rPr>
        <w:t>Record Date is July 23, 2026 &amp; Payment Date is July 31,2026</w:t>
      </w:r>
    </w:p>
    <w:p>
      <w:pPr>
        <w:pStyle w:val="TextBody"/>
        <w:bidi w:val="0"/>
        <w:spacing w:lineRule="auto" w:line="300" w:before="0" w:after="480"/>
        <w:jc w:val="center"/>
        <w:rPr>
          <w:rFonts w:ascii="Times New Roman;serif" w:hAnsi="Times New Roman;serif"/>
          <w:b w:val="false"/>
          <w:i/>
          <w:color w:val="000000"/>
          <w:sz w:val="24"/>
        </w:rPr>
      </w:pPr>
      <w:r>
        <w:rPr>
          <w:rFonts w:ascii="Times New Roman;serif" w:hAnsi="Times New Roman;serif"/>
          <w:b w:val="false"/>
          <w:i/>
          <w:color w:val="000000"/>
          <w:sz w:val="24"/>
        </w:rPr>
        <w:t>Corporate and Insider Share Purchase Initiatives to Continue</w:t>
      </w:r>
    </w:p>
    <w:p>
      <w:pPr>
        <w:pStyle w:val="TextBody"/>
        <w:bidi w:val="0"/>
        <w:spacing w:lineRule="auto" w:line="319" w:before="192" w:after="200"/>
        <w:jc w:val="both"/>
        <w:rPr/>
      </w:pPr>
      <w:r>
        <w:rPr>
          <w:rFonts w:ascii="Times New Roman;serif" w:hAnsi="Times New Roman;serif"/>
          <w:b/>
          <w:color w:val="000000"/>
          <w:sz w:val="24"/>
        </w:rPr>
        <w:t>NASHVILLE, Tenn. (July 13, 2026) – Cumberland Pharmaceuticals Inc. (Nasdaq: CPIX)</w:t>
      </w:r>
      <w:r>
        <w:rPr>
          <w:rFonts w:ascii="Times New Roman;serif" w:hAnsi="Times New Roman;serif"/>
          <w:b w:val="false"/>
          <w:color w:val="000000"/>
          <w:sz w:val="24"/>
        </w:rPr>
        <w:t>, an innovation-focused biopharmaceutical company developing new products for rare diseases, announced today that its Board of Directors has authorized and declared a special cash dividend of $1.50 per share of the Company’s common stock. The dividend will be payable on or about July 31, 2026, to the shareholders of record at the close of business on July 23, 2026.     </w:t>
      </w:r>
    </w:p>
    <w:p>
      <w:pPr>
        <w:pStyle w:val="TextBody"/>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Cumberland previously announced the closing of a Strategic Transaction with Apotex Health Corp. (“Apotex”), resulting in the integration of the U.S.-branded businesses. Cumberland received $100 million in cash at closing for its line of FDA-approved products. In addition, Cumberland expects to receive up to $11 million in additional payments associated with product inventory and transitional support services. </w:t>
      </w:r>
    </w:p>
    <w:p>
      <w:pPr>
        <w:pStyle w:val="TextBody"/>
        <w:bidi w:val="0"/>
        <w:spacing w:lineRule="auto" w:line="319" w:before="192" w:after="200"/>
        <w:jc w:val="both"/>
        <w:rPr>
          <w:rFonts w:ascii="Times New Roman;serif" w:hAnsi="Times New Roman;serif"/>
          <w:b w:val="false"/>
          <w:color w:val="000000"/>
          <w:sz w:val="24"/>
        </w:rPr>
      </w:pPr>
      <w:r>
        <w:rPr>
          <w:rFonts w:ascii="Times New Roman;serif" w:hAnsi="Times New Roman;serif"/>
          <w:b w:val="false"/>
          <w:color w:val="000000"/>
          <w:sz w:val="24"/>
        </w:rPr>
        <w:t>Following the closing of the transaction with Apotex, an analysis by the Company’s tax advisors, along with refined financial projections, indicated greater net cash from the transaction than originally projected. Therefore, Cumberland’s Board of Directors met to assess the Company’s future cash needs and evaluate possible alternatives for the excess capital. </w:t>
      </w:r>
    </w:p>
    <w:p>
      <w:pPr>
        <w:pStyle w:val="TextBody"/>
        <w:bidi w:val="0"/>
        <w:spacing w:lineRule="auto" w:line="319" w:before="192" w:after="200"/>
        <w:jc w:val="both"/>
        <w:rPr>
          <w:rFonts w:ascii="Times New Roman;serif" w:hAnsi="Times New Roman;serif"/>
          <w:b w:val="false"/>
          <w:color w:val="000000"/>
          <w:sz w:val="24"/>
        </w:rPr>
      </w:pPr>
      <w:r>
        <w:rPr>
          <w:rFonts w:ascii="Times New Roman;serif" w:hAnsi="Times New Roman;serif"/>
          <w:b w:val="false"/>
          <w:color w:val="000000"/>
          <w:sz w:val="24"/>
        </w:rPr>
        <w:t>In addition to the special dividend, the Board authorized an open-market share repurchase program of up to $5 million in Cumberland shares of common stock over time. The timing and actual number of shares repurchased pursuant the Company’s repurchase program will be determined by management depending on a variety of factors, including stock price, trading volume, market conditions, and other general business considerations. Several Board members will also be establishing new share purchase plans to increase their holdings in the Company.</w:t>
      </w:r>
    </w:p>
    <w:p>
      <w:pPr>
        <w:pStyle w:val="TextBody"/>
        <w:bidi w:val="0"/>
        <w:spacing w:lineRule="auto" w:line="319" w:before="192" w:after="200"/>
        <w:jc w:val="both"/>
        <w:rPr>
          <w:color w:val="000000"/>
        </w:rPr>
      </w:pPr>
      <w:r>
        <w:rPr>
          <w:color w:val="000000"/>
        </w:rPr>
        <w:t>“</w:t>
      </w:r>
      <w:r>
        <w:rPr>
          <w:rFonts w:ascii="Times New Roman;serif" w:hAnsi="Times New Roman;serif"/>
          <w:b w:val="false"/>
          <w:color w:val="000000"/>
          <w:sz w:val="24"/>
        </w:rPr>
        <w:t>In keeping with our ongoing commitment to deliver value to our shareholders, we are issuing a special dividend following the Strategic Transaction, which treats all shareholders equally,” said A.J. Kazimi, Cumberland’s CEO. “After the payout of $1.50 per share, we believe the Company will still have significant liquidity and financial flexibility to fund our long-term product development efforts, with additional reserves available to address any new opportunities”.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01955"/>
                <wp:effectExtent l="0" t="0" r="0" b="0"/>
                <wp:wrapNone/>
                <wp:docPr id="5" name="Frame4"/>
                <a:graphic xmlns:a="http://schemas.openxmlformats.org/drawingml/2006/main">
                  <a:graphicData uri="http://schemas.microsoft.com/office/word/2010/wordprocessingShape">
                    <wps:wsp>
                      <wps:cNvSpPr txBox="1"/>
                      <wps:spPr>
                        <a:xfrm>
                          <a:off x="0" y="0"/>
                          <a:ext cx="6480175" cy="40195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240"/>
        <w:jc w:val="both"/>
        <w:rPr/>
      </w:pPr>
      <w:r>
        <w:rPr/>
      </w:r>
    </w:p>
    <w:p>
      <w:pPr>
        <w:pStyle w:val="TextBody"/>
        <w:bidi w:val="0"/>
        <w:spacing w:lineRule="auto" w:line="319" w:before="0" w:after="240"/>
        <w:jc w:val="both"/>
        <w:rPr/>
      </w:pPr>
      <w:r>
        <w:rPr>
          <w:rFonts w:ascii="Times New Roman;serif" w:hAnsi="Times New Roman;serif"/>
          <w:b w:val="false"/>
          <w:color w:val="000000"/>
          <w:sz w:val="24"/>
        </w:rPr>
        <w:t xml:space="preserve">Cumberland has retained its robust portfolio of innovative product candidates and its majority ownership position in </w:t>
      </w:r>
      <w:r>
        <w:rPr>
          <w:rFonts w:ascii="Times New Roman;serif" w:hAnsi="Times New Roman;serif"/>
          <w:b w:val="false"/>
          <w:i/>
          <w:color w:val="000000"/>
          <w:sz w:val="24"/>
        </w:rPr>
        <w:t>Cumberland Emerging Technologies Inc</w:t>
      </w:r>
      <w:r>
        <w:rPr>
          <w:rFonts w:ascii="Times New Roman;serif" w:hAnsi="Times New Roman;serif"/>
          <w:b w:val="false"/>
          <w:color w:val="000000"/>
          <w:sz w:val="24"/>
        </w:rPr>
        <w:t>. Moving forward, Cumberland will focus its resources on developing ifetroban, a potent thromboxane antagonist currently being studied across clinical programs targeting serious rare and progressive diseases:</w:t>
      </w:r>
    </w:p>
    <w:p>
      <w:pPr>
        <w:pStyle w:val="TextBody"/>
        <w:bidi w:val="0"/>
        <w:spacing w:lineRule="auto" w:line="319" w:before="0" w:after="0"/>
        <w:ind w:left="0" w:right="0" w:hanging="648"/>
        <w:jc w:val="both"/>
        <w:rPr/>
      </w:pPr>
      <w:r>
        <w:rPr>
          <w:color w:val="000000"/>
        </w:rPr>
        <w:t>•</w:t>
      </w:r>
      <w:r>
        <w:rPr>
          <w:rFonts w:ascii="Times New Roman;serif" w:hAnsi="Times New Roman;serif"/>
          <w:b/>
          <w:color w:val="000000"/>
          <w:sz w:val="24"/>
        </w:rPr>
        <w:t xml:space="preserve">Duchenne Muscular Dystrophy Cardiomyopathy: </w:t>
      </w:r>
    </w:p>
    <w:p>
      <w:pPr>
        <w:pStyle w:val="TextBody"/>
        <w:bidi w:val="0"/>
        <w:spacing w:lineRule="auto" w:line="319" w:before="0" w:after="120"/>
        <w:jc w:val="both"/>
        <w:rPr>
          <w:rFonts w:ascii="Times New Roman;serif" w:hAnsi="Times New Roman;serif"/>
          <w:b w:val="false"/>
          <w:color w:val="000000"/>
          <w:sz w:val="24"/>
        </w:rPr>
      </w:pPr>
      <w:r>
        <w:rPr>
          <w:rFonts w:ascii="Times New Roman;serif" w:hAnsi="Times New Roman;serif"/>
          <w:b w:val="false"/>
          <w:color w:val="000000"/>
          <w:sz w:val="24"/>
        </w:rPr>
        <w:t>Cumberland announced breakthrough results in a Phase II clinical study of ifetroban in patients with cardiomyopathy associated with this rare, fatal genetic neuromuscular disease. Interactions with the FDA have been underway regarding study results and requirements for approval. The program has received FDA Orphan Drug, Rare Pediatric Disease and Fast Track designations.</w:t>
      </w:r>
    </w:p>
    <w:p>
      <w:pPr>
        <w:pStyle w:val="TextBody"/>
        <w:bidi w:val="0"/>
        <w:spacing w:lineRule="auto" w:line="319" w:before="0" w:after="0"/>
        <w:ind w:left="0" w:right="0" w:hanging="648"/>
        <w:jc w:val="both"/>
        <w:rPr/>
      </w:pPr>
      <w:r>
        <w:rPr>
          <w:color w:val="000000"/>
        </w:rPr>
        <w:t>•</w:t>
      </w:r>
      <w:r>
        <w:rPr>
          <w:rFonts w:ascii="Times New Roman;serif" w:hAnsi="Times New Roman;serif"/>
          <w:b/>
          <w:color w:val="000000"/>
          <w:sz w:val="24"/>
        </w:rPr>
        <w:t xml:space="preserve">Systemic Sclerosis: </w:t>
      </w:r>
    </w:p>
    <w:p>
      <w:pPr>
        <w:pStyle w:val="TextBody"/>
        <w:bidi w:val="0"/>
        <w:spacing w:lineRule="auto" w:line="319" w:before="0" w:after="120"/>
        <w:jc w:val="both"/>
        <w:rPr>
          <w:rFonts w:ascii="Times New Roman;serif" w:hAnsi="Times New Roman;serif"/>
          <w:b w:val="false"/>
          <w:color w:val="000000"/>
          <w:sz w:val="24"/>
        </w:rPr>
      </w:pPr>
      <w:r>
        <w:rPr>
          <w:rFonts w:ascii="Times New Roman;serif" w:hAnsi="Times New Roman;serif"/>
          <w:b w:val="false"/>
          <w:color w:val="000000"/>
          <w:sz w:val="24"/>
        </w:rPr>
        <w:t>Cumberland has conducted a Phase II clinical study evaluating the safety of ifetroban in patients with this debilitating autoimmune disorder. Evaluation of the study data is underway with top-line results anticipated as the next milestone.</w:t>
      </w:r>
    </w:p>
    <w:p>
      <w:pPr>
        <w:pStyle w:val="TextBody"/>
        <w:bidi w:val="0"/>
        <w:spacing w:lineRule="auto" w:line="319" w:before="0" w:after="0"/>
        <w:ind w:left="0" w:right="0" w:hanging="648"/>
        <w:jc w:val="both"/>
        <w:rPr/>
      </w:pPr>
      <w:r>
        <w:rPr>
          <w:color w:val="000000"/>
        </w:rPr>
        <w:t>•</w:t>
      </w:r>
      <w:r>
        <w:rPr>
          <w:rFonts w:ascii="Times New Roman;serif" w:hAnsi="Times New Roman;serif"/>
          <w:b/>
          <w:color w:val="000000"/>
          <w:sz w:val="24"/>
        </w:rPr>
        <w:t xml:space="preserve">Idiopathic Pulmonary Fibrosis: </w:t>
      </w:r>
    </w:p>
    <w:p>
      <w:pPr>
        <w:pStyle w:val="TextBody"/>
        <w:bidi w:val="0"/>
        <w:spacing w:lineRule="auto" w:line="319" w:before="0" w:after="120"/>
        <w:jc w:val="both"/>
        <w:rPr>
          <w:rFonts w:ascii="Times New Roman;serif" w:hAnsi="Times New Roman;serif"/>
          <w:b w:val="false"/>
          <w:color w:val="000000"/>
          <w:sz w:val="24"/>
        </w:rPr>
      </w:pPr>
      <w:r>
        <w:rPr>
          <w:rFonts w:ascii="Times New Roman;serif" w:hAnsi="Times New Roman;serif"/>
          <w:b w:val="false"/>
          <w:color w:val="000000"/>
          <w:sz w:val="24"/>
        </w:rPr>
        <w:t>A Phase II study evaluating ifetroban in patients with the most common form of progressive fibrosing interstitial lung disease is actively enrolling at medical centers across the U.S. Favorable interim safety findings have been announced, and the next milestone is the announcement of the efficacy results.</w:t>
      </w:r>
    </w:p>
    <w:p>
      <w:pPr>
        <w:pStyle w:val="TextBody"/>
        <w:bidi w:val="0"/>
        <w:spacing w:lineRule="auto" w:line="319" w:before="0" w:after="0"/>
        <w:ind w:left="0" w:right="0" w:hanging="648"/>
        <w:jc w:val="both"/>
        <w:rPr/>
      </w:pPr>
      <w:r>
        <w:rPr>
          <w:color w:val="000000"/>
        </w:rPr>
        <w:t>•</w:t>
      </w:r>
      <w:r>
        <w:rPr>
          <w:rFonts w:ascii="Times New Roman;serif" w:hAnsi="Times New Roman;serif"/>
          <w:b/>
          <w:color w:val="000000"/>
          <w:sz w:val="24"/>
        </w:rPr>
        <w:t xml:space="preserve">Cancer Metastasis: </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Cumberland, in collaboration with Vanderbilt Health, recently announced the results of a Pilot Study of ifetroban in patients with high-risk solid tumors. The findings suggest the potential to block cancer metastasis, as a favorable trend was identified with fewer deaths due to metastatic disease in those receiving ifetroban rather than a placebo. The Phase 2 clinical trial also found ifetroban to be safe and well tolerated in the oncology patients, supporting further development of the drug to prevent cancer metastasis. </w:t>
      </w:r>
    </w:p>
    <w:p>
      <w:pPr>
        <w:pStyle w:val="TextBody"/>
        <w:bidi w:val="0"/>
        <w:spacing w:lineRule="auto" w:line="319" w:before="240" w:after="120"/>
        <w:jc w:val="both"/>
        <w:rPr>
          <w:rFonts w:ascii="Times New Roman;serif" w:hAnsi="Times New Roman;serif"/>
          <w:b/>
          <w:color w:val="000000"/>
          <w:sz w:val="24"/>
          <w:u w:val="single"/>
        </w:rPr>
      </w:pPr>
      <w:r>
        <w:rPr>
          <w:rFonts w:ascii="Times New Roman;serif" w:hAnsi="Times New Roman;serif"/>
          <w:b/>
          <w:color w:val="000000"/>
          <w:sz w:val="24"/>
          <w:u w:val="single"/>
        </w:rPr>
        <w:t>About Cumberland Pharmaceuticals</w:t>
      </w:r>
    </w:p>
    <w:p>
      <w:pPr>
        <w:pStyle w:val="TextBody"/>
        <w:bidi w:val="0"/>
        <w:spacing w:lineRule="auto" w:line="319" w:before="120" w:after="120"/>
        <w:jc w:val="both"/>
        <w:rPr>
          <w:rFonts w:ascii="Times New Roman;serif" w:hAnsi="Times New Roman;serif"/>
          <w:b w:val="false"/>
          <w:color w:val="000000"/>
          <w:sz w:val="24"/>
        </w:rPr>
      </w:pPr>
      <w:r>
        <w:rPr>
          <w:rFonts w:ascii="Times New Roman;serif" w:hAnsi="Times New Roman;serif"/>
          <w:b w:val="false"/>
          <w:color w:val="000000"/>
          <w:sz w:val="24"/>
        </w:rPr>
        <w:t>Cumberland Pharmaceuticals Inc. is the largest biopharmaceutical company founded and headquartered in Tennessee and is focused on developing innovative products that improve the quality of patient care. The company is advancing a clinical pipeline of late-stage product candidates across multiple therapeutic areas with significant unmet medical needs.</w:t>
      </w:r>
    </w:p>
    <w:p>
      <w:pPr>
        <w:pStyle w:val="TextBody"/>
        <w:bidi w:val="0"/>
        <w:spacing w:lineRule="auto" w:line="319"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Cumberland's Phase 2 clinical programs are evaluating ifetroban in patients with Duchenne Muscular Dystrophy, Systemic Sclerosis, Idiopathic Pulmonary Fibrosis and Cancer Metastasis. </w:t>
      </w:r>
    </w:p>
    <w:p>
      <w:pPr>
        <w:pStyle w:val="TextBody"/>
        <w:bidi w:val="0"/>
        <w:spacing w:lineRule="auto" w:line="288" w:before="120" w:after="240"/>
        <w:jc w:val="both"/>
        <w:rPr/>
      </w:pPr>
      <w:r>
        <w:rPr>
          <w:rFonts w:ascii="Times New Roman;serif" w:hAnsi="Times New Roman;serif"/>
          <w:b w:val="false"/>
          <w:color w:val="000000"/>
          <w:sz w:val="24"/>
        </w:rPr>
        <w:t>For more information, please visit </w:t>
      </w:r>
      <w:r>
        <w:rPr>
          <w:rFonts w:ascii="Times New Roman;serif" w:hAnsi="Times New Roman;serif"/>
          <w:b w:val="false"/>
          <w:i/>
          <w:color w:val="000000"/>
          <w:sz w:val="24"/>
        </w:rPr>
        <w:t>www.cumberlandpharma.com.</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01955"/>
                <wp:effectExtent l="0" t="0" r="0" b="0"/>
                <wp:wrapNone/>
                <wp:docPr id="6" name="Frame5"/>
                <a:graphic xmlns:a="http://schemas.openxmlformats.org/drawingml/2006/main">
                  <a:graphicData uri="http://schemas.microsoft.com/office/word/2010/wordprocessingShape">
                    <wps:wsp>
                      <wps:cNvSpPr txBox="1"/>
                      <wps:spPr>
                        <a:xfrm>
                          <a:off x="0" y="0"/>
                          <a:ext cx="6480175" cy="40195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120" w:after="240"/>
        <w:jc w:val="both"/>
        <w:rPr/>
      </w:pPr>
      <w:r>
        <w:rPr/>
      </w:r>
    </w:p>
    <w:p>
      <w:pPr>
        <w:pStyle w:val="TextBody"/>
        <w:bidi w:val="0"/>
        <w:spacing w:lineRule="auto" w:line="288" w:before="240" w:after="120"/>
        <w:jc w:val="both"/>
        <w:rPr>
          <w:rFonts w:ascii="Times New Roman;serif" w:hAnsi="Times New Roman;serif"/>
          <w:b/>
          <w:color w:val="000000"/>
          <w:sz w:val="24"/>
          <w:u w:val="single"/>
        </w:rPr>
      </w:pPr>
      <w:r>
        <w:rPr>
          <w:rFonts w:ascii="Times New Roman;serif" w:hAnsi="Times New Roman;serif"/>
          <w:b/>
          <w:color w:val="000000"/>
          <w:sz w:val="24"/>
          <w:u w:val="single"/>
        </w:rPr>
        <w:t>Forward-Looking Statements</w:t>
      </w:r>
    </w:p>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the risks inherent in clinical development, regulatory review, and the commercialization of ifetroban and other pipeline or CET-supported assets, natural disasters, public health epidemics, and other events beyond our control, as more fully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SOURCE: Cumberland Pharmaceuticals Inc.</w:t>
      </w:r>
    </w:p>
    <w:tbl>
      <w:tblPr>
        <w:tblW w:w="5040" w:type="dxa"/>
        <w:jc w:val="left"/>
        <w:tblInd w:w="0" w:type="dxa"/>
        <w:tblLayout w:type="fixed"/>
        <w:tblCellMar>
          <w:top w:w="28" w:type="dxa"/>
          <w:left w:w="28" w:type="dxa"/>
          <w:bottom w:w="28" w:type="dxa"/>
          <w:right w:w="28" w:type="dxa"/>
        </w:tblCellMar>
      </w:tblPr>
      <w:tblGrid>
        <w:gridCol w:w="1196"/>
        <w:gridCol w:w="1050"/>
        <w:gridCol w:w="1054"/>
        <w:gridCol w:w="509"/>
        <w:gridCol w:w="509"/>
        <w:gridCol w:w="722"/>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Investor Contact: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Shayla Simpson</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Media Contact: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Emily Kent</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Cumberland Pharmaceuticals Inc.</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Dalton Agency</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(615) 255-0068</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(540) 621-5448</w:t>
            </w:r>
          </w:p>
        </w:tc>
      </w:tr>
    </w:tbl>
    <w:p>
      <w:pPr>
        <w:pStyle w:val="TextBody"/>
        <w:bidi w:val="0"/>
        <w:spacing w:before="0" w:after="0"/>
        <w:jc w:val="center"/>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01955"/>
                <wp:effectExtent l="0" t="0" r="0" b="0"/>
                <wp:wrapNone/>
                <wp:docPr id="7" name="Frame6"/>
                <a:graphic xmlns:a="http://schemas.openxmlformats.org/drawingml/2006/main">
                  <a:graphicData uri="http://schemas.microsoft.com/office/word/2010/wordprocessingShape">
                    <wps:wsp>
                      <wps:cNvSpPr txBox="1"/>
                      <wps:spPr>
                        <a:xfrm>
                          <a:off x="0" y="0"/>
                          <a:ext cx="6480175" cy="40195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r>
                    </w:p>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1788</Words>
  <Characters>10407</Characters>
  <CharactersWithSpaces>12155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